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rPr>
          <w:rFonts w:ascii="宋体" w:hAnsi="宋体" w:cs="宋体"/>
        </w:rPr>
      </w:pPr>
    </w:p>
    <w:p>
      <w:pPr>
        <w:spacing w:line="360" w:lineRule="auto"/>
        <w:rPr>
          <w:rFonts w:ascii="宋体" w:hAnsi="宋体" w:cs="宋体"/>
        </w:rPr>
      </w:pPr>
      <w:r>
        <w:drawing>
          <wp:inline distT="0" distB="0" distL="114300" distR="114300">
            <wp:extent cx="3819525" cy="828675"/>
            <wp:effectExtent l="0" t="0" r="952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819525" cy="828675"/>
                    </a:xfrm>
                    <a:prstGeom prst="rect">
                      <a:avLst/>
                    </a:prstGeom>
                    <a:noFill/>
                    <a:ln>
                      <a:noFill/>
                    </a:ln>
                  </pic:spPr>
                </pic:pic>
              </a:graphicData>
            </a:graphic>
          </wp:inline>
        </w:drawing>
      </w:r>
    </w:p>
    <w:p>
      <w:pPr>
        <w:pStyle w:val="4"/>
        <w:outlineLvl w:val="9"/>
      </w:pPr>
    </w:p>
    <w:p>
      <w:pPr>
        <w:spacing w:line="360" w:lineRule="auto"/>
        <w:rPr>
          <w:rFonts w:ascii="宋体" w:hAnsi="宋体" w:cs="宋体"/>
          <w:sz w:val="24"/>
        </w:rPr>
      </w:pPr>
    </w:p>
    <w:p>
      <w:pPr>
        <w:pStyle w:val="26"/>
        <w:spacing w:line="360" w:lineRule="auto"/>
        <w:rPr>
          <w:rFonts w:ascii="宋体" w:hAnsi="宋体" w:cs="宋体"/>
          <w:sz w:val="16"/>
          <w:szCs w:val="22"/>
        </w:rPr>
      </w:pPr>
    </w:p>
    <w:p>
      <w:pPr>
        <w:spacing w:line="360" w:lineRule="auto"/>
        <w:jc w:val="center"/>
        <w:outlineLvl w:val="0"/>
        <w:rPr>
          <w:rFonts w:ascii="宋体" w:hAnsi="宋体" w:cs="宋体"/>
          <w:b/>
          <w:bCs/>
          <w:sz w:val="56"/>
          <w:szCs w:val="56"/>
        </w:rPr>
      </w:pPr>
      <w:bookmarkStart w:id="0" w:name="_Toc21356"/>
      <w:bookmarkStart w:id="1" w:name="_Toc8516"/>
      <w:r>
        <w:rPr>
          <w:rFonts w:hint="eastAsia" w:ascii="宋体" w:hAnsi="宋体" w:cs="宋体"/>
          <w:b/>
          <w:bCs/>
          <w:sz w:val="56"/>
          <w:szCs w:val="56"/>
        </w:rPr>
        <w:t>陕西师范大学附属中学</w:t>
      </w:r>
      <w:bookmarkEnd w:id="0"/>
      <w:bookmarkEnd w:id="1"/>
    </w:p>
    <w:p>
      <w:pPr>
        <w:spacing w:line="360" w:lineRule="auto"/>
        <w:jc w:val="center"/>
        <w:outlineLvl w:val="0"/>
        <w:rPr>
          <w:rFonts w:ascii="宋体" w:hAnsi="宋体" w:cs="宋体"/>
          <w:b/>
          <w:bCs/>
          <w:sz w:val="48"/>
          <w:szCs w:val="48"/>
        </w:rPr>
      </w:pPr>
      <w:bookmarkStart w:id="2" w:name="_Toc25660"/>
      <w:bookmarkStart w:id="3" w:name="_Toc2439"/>
      <w:r>
        <w:rPr>
          <w:rFonts w:hint="eastAsia" w:ascii="宋体" w:hAnsi="宋体" w:cs="宋体"/>
          <w:b/>
          <w:bCs/>
          <w:sz w:val="56"/>
          <w:szCs w:val="56"/>
        </w:rPr>
        <w:t>电动车充电桩安装及维保服务项目</w:t>
      </w:r>
      <w:bookmarkEnd w:id="2"/>
      <w:bookmarkEnd w:id="3"/>
    </w:p>
    <w:p>
      <w:pPr>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17"/>
        <w:spacing w:line="360" w:lineRule="auto"/>
        <w:rPr>
          <w:rFonts w:ascii="宋体" w:hAnsi="宋体" w:cs="宋体"/>
        </w:rPr>
      </w:pPr>
    </w:p>
    <w:p>
      <w:pPr>
        <w:spacing w:line="360" w:lineRule="auto"/>
        <w:jc w:val="center"/>
        <w:rPr>
          <w:rFonts w:ascii="宋体" w:hAnsi="宋体" w:cs="宋体"/>
        </w:rPr>
      </w:pPr>
      <w:r>
        <w:rPr>
          <w:rFonts w:hint="eastAsia" w:ascii="宋体" w:hAnsi="宋体" w:cs="宋体"/>
          <w:b/>
          <w:sz w:val="72"/>
          <w:szCs w:val="72"/>
        </w:rPr>
        <w:t>磋商文件</w:t>
      </w:r>
    </w:p>
    <w:p>
      <w:pPr>
        <w:spacing w:line="360" w:lineRule="auto"/>
        <w:jc w:val="center"/>
        <w:outlineLvl w:val="0"/>
        <w:rPr>
          <w:rFonts w:ascii="宋体" w:hAnsi="宋体" w:cs="宋体"/>
          <w:b/>
          <w:sz w:val="32"/>
        </w:rPr>
      </w:pPr>
      <w:bookmarkStart w:id="4" w:name="_Toc13443"/>
      <w:bookmarkStart w:id="5" w:name="_Toc19275"/>
      <w:r>
        <w:rPr>
          <w:rFonts w:hint="eastAsia" w:ascii="宋体" w:hAnsi="宋体" w:cs="宋体"/>
          <w:b/>
          <w:sz w:val="32"/>
        </w:rPr>
        <w:t>采购项目编号：SDFZHT2023040055</w:t>
      </w:r>
      <w:bookmarkEnd w:id="4"/>
      <w:bookmarkEnd w:id="5"/>
    </w:p>
    <w:p>
      <w:pPr>
        <w:pStyle w:val="26"/>
        <w:spacing w:line="360" w:lineRule="auto"/>
        <w:rPr>
          <w:rFonts w:ascii="宋体" w:hAnsi="宋体" w:cs="宋体"/>
          <w:sz w:val="32"/>
        </w:rPr>
      </w:pPr>
    </w:p>
    <w:p>
      <w:pPr>
        <w:pStyle w:val="26"/>
        <w:spacing w:line="360" w:lineRule="auto"/>
        <w:rPr>
          <w:rFonts w:ascii="宋体" w:hAnsi="宋体" w:cs="宋体"/>
          <w:sz w:val="32"/>
        </w:rPr>
      </w:pPr>
    </w:p>
    <w:p>
      <w:pPr>
        <w:pStyle w:val="26"/>
        <w:spacing w:line="360" w:lineRule="auto"/>
        <w:rPr>
          <w:rFonts w:ascii="宋体" w:hAnsi="宋体" w:cs="宋体"/>
          <w:sz w:val="32"/>
        </w:rPr>
      </w:pPr>
    </w:p>
    <w:p>
      <w:pPr>
        <w:pStyle w:val="26"/>
        <w:spacing w:line="360" w:lineRule="auto"/>
        <w:rPr>
          <w:rFonts w:ascii="宋体" w:hAnsi="宋体" w:cs="宋体"/>
          <w:sz w:val="32"/>
        </w:rPr>
      </w:pPr>
    </w:p>
    <w:p>
      <w:pPr>
        <w:spacing w:line="360" w:lineRule="auto"/>
        <w:jc w:val="center"/>
        <w:outlineLvl w:val="0"/>
        <w:rPr>
          <w:rFonts w:hint="eastAsia" w:ascii="宋体" w:hAnsi="宋体" w:eastAsia="宋体" w:cs="宋体"/>
          <w:sz w:val="32"/>
          <w:lang w:val="en-US" w:eastAsia="zh-CN"/>
        </w:rPr>
      </w:pPr>
      <w:bookmarkStart w:id="6" w:name="_Toc32071"/>
      <w:bookmarkStart w:id="7" w:name="_Toc28411"/>
      <w:r>
        <w:rPr>
          <w:rFonts w:hint="eastAsia" w:ascii="宋体" w:hAnsi="宋体" w:cs="宋体"/>
          <w:b/>
          <w:sz w:val="30"/>
          <w:szCs w:val="30"/>
        </w:rPr>
        <w:t>陕西师范大学附属中学</w:t>
      </w:r>
      <w:bookmarkEnd w:id="6"/>
      <w:bookmarkEnd w:id="7"/>
    </w:p>
    <w:p>
      <w:pPr>
        <w:spacing w:line="360" w:lineRule="auto"/>
        <w:jc w:val="center"/>
        <w:rPr>
          <w:rFonts w:ascii="宋体" w:hAnsi="宋体" w:cs="宋体"/>
          <w:b/>
          <w:sz w:val="30"/>
          <w:szCs w:val="30"/>
        </w:rPr>
      </w:pPr>
      <w:r>
        <w:rPr>
          <w:rFonts w:hint="eastAsia" w:ascii="宋体" w:hAnsi="宋体" w:cs="宋体"/>
          <w:b/>
          <w:sz w:val="30"/>
          <w:szCs w:val="30"/>
        </w:rPr>
        <w:t>二零二三年</w:t>
      </w:r>
      <w:r>
        <w:rPr>
          <w:rFonts w:hint="eastAsia" w:ascii="宋体" w:hAnsi="宋体" w:cs="宋体"/>
          <w:b/>
          <w:sz w:val="30"/>
          <w:szCs w:val="30"/>
          <w:lang w:val="en-US" w:eastAsia="zh-CN"/>
        </w:rPr>
        <w:t>九</w:t>
      </w:r>
      <w:r>
        <w:rPr>
          <w:rFonts w:hint="eastAsia" w:ascii="宋体" w:hAnsi="宋体" w:cs="宋体"/>
          <w:b/>
          <w:sz w:val="30"/>
          <w:szCs w:val="30"/>
        </w:rPr>
        <w:t>月</w:t>
      </w:r>
    </w:p>
    <w:p>
      <w:pPr>
        <w:spacing w:line="360" w:lineRule="auto"/>
        <w:jc w:val="center"/>
        <w:rPr>
          <w:rFonts w:ascii="宋体" w:hAnsi="宋体" w:cs="宋体"/>
          <w:b/>
          <w:sz w:val="36"/>
          <w:szCs w:val="36"/>
        </w:rPr>
        <w:sectPr>
          <w:headerReference r:id="rId3" w:type="default"/>
          <w:headerReference r:id="rId4" w:type="even"/>
          <w:footerReference r:id="rId5" w:type="even"/>
          <w:footnotePr>
            <w:pos w:val="beneathText"/>
          </w:footnotePr>
          <w:pgSz w:w="11906" w:h="16838"/>
          <w:pgMar w:top="1440" w:right="1106" w:bottom="1219" w:left="1276" w:header="851" w:footer="992" w:gutter="0"/>
          <w:cols w:space="720" w:num="1"/>
          <w:titlePg/>
          <w:docGrid w:linePitch="312" w:charSpace="0"/>
        </w:sectPr>
      </w:pPr>
    </w:p>
    <w:p>
      <w:pPr>
        <w:spacing w:line="360" w:lineRule="auto"/>
        <w:jc w:val="center"/>
        <w:rPr>
          <w:rFonts w:ascii="宋体" w:hAnsi="宋体" w:cs="宋体"/>
          <w:b/>
          <w:sz w:val="36"/>
          <w:szCs w:val="36"/>
        </w:rPr>
      </w:pPr>
      <w:r>
        <w:rPr>
          <w:rFonts w:hint="eastAsia" w:ascii="宋体" w:hAnsi="宋体" w:cs="宋体"/>
          <w:b/>
          <w:sz w:val="36"/>
          <w:szCs w:val="36"/>
        </w:rPr>
        <w:t>目  录</w:t>
      </w:r>
    </w:p>
    <w:p>
      <w:pPr>
        <w:pStyle w:val="28"/>
        <w:tabs>
          <w:tab w:val="right" w:leader="dot" w:pos="8839"/>
        </w:tabs>
      </w:pPr>
      <w:bookmarkStart w:id="8" w:name="_Toc193702467"/>
      <w:bookmarkStart w:id="9" w:name="_Toc246928891"/>
      <w:bookmarkStart w:id="10" w:name="_Toc11110"/>
      <w:bookmarkStart w:id="11" w:name="_Toc19696"/>
      <w:bookmarkStart w:id="12" w:name="_Toc18236"/>
      <w:bookmarkStart w:id="13" w:name="_Toc26009"/>
      <w:r>
        <w:rPr>
          <w:rFonts w:ascii="宋体" w:hAnsi="宋体" w:cs="宋体"/>
          <w:szCs w:val="21"/>
        </w:rPr>
        <w:fldChar w:fldCharType="begin"/>
      </w:r>
      <w:r>
        <w:rPr>
          <w:rFonts w:ascii="宋体" w:hAnsi="宋体" w:cs="宋体"/>
          <w:szCs w:val="21"/>
        </w:rPr>
        <w:instrText xml:space="preserve">TOC \o "1-1" \h \u </w:instrText>
      </w:r>
      <w:r>
        <w:rPr>
          <w:rFonts w:ascii="宋体" w:hAnsi="宋体" w:cs="宋体"/>
          <w:szCs w:val="21"/>
        </w:rPr>
        <w:fldChar w:fldCharType="separate"/>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_Toc3240 </w:instrText>
      </w:r>
      <w:r>
        <w:rPr>
          <w:rFonts w:ascii="宋体" w:hAnsi="宋体" w:cs="宋体"/>
          <w:szCs w:val="21"/>
        </w:rPr>
        <w:fldChar w:fldCharType="separate"/>
      </w:r>
      <w:r>
        <w:rPr>
          <w:rFonts w:hint="eastAsia" w:ascii="宋体" w:hAnsi="宋体" w:cs="宋体"/>
        </w:rPr>
        <w:t>第一部分  磋商公告</w:t>
      </w:r>
      <w:r>
        <w:tab/>
      </w:r>
      <w:r>
        <w:fldChar w:fldCharType="begin"/>
      </w:r>
      <w:r>
        <w:instrText xml:space="preserve"> PAGEREF _Toc3240 \h </w:instrText>
      </w:r>
      <w:r>
        <w:fldChar w:fldCharType="separate"/>
      </w:r>
      <w:r>
        <w:t>2</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_Toc3320 </w:instrText>
      </w:r>
      <w:r>
        <w:rPr>
          <w:rFonts w:ascii="宋体" w:hAnsi="宋体" w:cs="宋体"/>
          <w:szCs w:val="21"/>
        </w:rPr>
        <w:fldChar w:fldCharType="separate"/>
      </w:r>
      <w:r>
        <w:rPr>
          <w:rFonts w:hint="eastAsia" w:ascii="宋体" w:hAnsi="宋体" w:cs="宋体"/>
        </w:rPr>
        <w:t>第二部分  供应商须知前附表</w:t>
      </w:r>
      <w:r>
        <w:tab/>
      </w:r>
      <w:r>
        <w:fldChar w:fldCharType="begin"/>
      </w:r>
      <w:r>
        <w:instrText xml:space="preserve"> PAGEREF _Toc3320 \h </w:instrText>
      </w:r>
      <w:r>
        <w:fldChar w:fldCharType="separate"/>
      </w:r>
      <w:r>
        <w:t>5</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_Toc25954 </w:instrText>
      </w:r>
      <w:r>
        <w:rPr>
          <w:rFonts w:ascii="宋体" w:hAnsi="宋体" w:cs="宋体"/>
          <w:szCs w:val="21"/>
        </w:rPr>
        <w:fldChar w:fldCharType="separate"/>
      </w:r>
      <w:r>
        <w:rPr>
          <w:rFonts w:hint="eastAsia" w:ascii="宋体" w:hAnsi="宋体" w:cs="宋体"/>
        </w:rPr>
        <w:t>第三部分  磋商须知</w:t>
      </w:r>
      <w:r>
        <w:tab/>
      </w:r>
      <w:r>
        <w:fldChar w:fldCharType="begin"/>
      </w:r>
      <w:r>
        <w:instrText xml:space="preserve"> PAGEREF _Toc25954 \h </w:instrText>
      </w:r>
      <w:r>
        <w:fldChar w:fldCharType="separate"/>
      </w:r>
      <w:r>
        <w:t>7</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_Toc25090 </w:instrText>
      </w:r>
      <w:r>
        <w:rPr>
          <w:rFonts w:ascii="宋体" w:hAnsi="宋体" w:cs="宋体"/>
          <w:szCs w:val="21"/>
        </w:rPr>
        <w:fldChar w:fldCharType="separate"/>
      </w:r>
      <w:r>
        <w:rPr>
          <w:rFonts w:hint="eastAsia" w:ascii="宋体" w:hAnsi="宋体" w:cs="宋体"/>
          <w:szCs w:val="32"/>
        </w:rPr>
        <w:t>第四部分  合同格式</w:t>
      </w:r>
      <w:r>
        <w:tab/>
      </w:r>
      <w:r>
        <w:fldChar w:fldCharType="begin"/>
      </w:r>
      <w:r>
        <w:instrText xml:space="preserve"> PAGEREF _Toc25090 \h </w:instrText>
      </w:r>
      <w:r>
        <w:fldChar w:fldCharType="separate"/>
      </w:r>
      <w:r>
        <w:t>18</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_Toc5175 </w:instrText>
      </w:r>
      <w:r>
        <w:rPr>
          <w:rFonts w:ascii="宋体" w:hAnsi="宋体" w:cs="宋体"/>
          <w:szCs w:val="21"/>
        </w:rPr>
        <w:fldChar w:fldCharType="separate"/>
      </w:r>
      <w:r>
        <w:rPr>
          <w:rFonts w:hint="eastAsia" w:ascii="宋体" w:hAnsi="宋体" w:cs="宋体"/>
        </w:rPr>
        <w:t>第五部分 附件—磋商响应文件格式</w:t>
      </w:r>
      <w:r>
        <w:tab/>
      </w:r>
      <w:r>
        <w:fldChar w:fldCharType="begin"/>
      </w:r>
      <w:r>
        <w:instrText xml:space="preserve"> PAGEREF _Toc5175 \h </w:instrText>
      </w:r>
      <w:r>
        <w:fldChar w:fldCharType="separate"/>
      </w:r>
      <w:r>
        <w:t>23</w:t>
      </w:r>
      <w:r>
        <w:fldChar w:fldCharType="end"/>
      </w:r>
      <w:r>
        <w:rPr>
          <w:rFonts w:ascii="宋体" w:hAnsi="宋体" w:cs="宋体"/>
          <w:szCs w:val="21"/>
        </w:rPr>
        <w:fldChar w:fldCharType="end"/>
      </w:r>
    </w:p>
    <w:p>
      <w:pPr>
        <w:pStyle w:val="28"/>
        <w:tabs>
          <w:tab w:val="right" w:leader="dot" w:pos="8839"/>
        </w:tabs>
      </w:pPr>
      <w:r>
        <w:rPr>
          <w:rFonts w:ascii="宋体" w:hAnsi="宋体" w:cs="宋体"/>
          <w:szCs w:val="21"/>
        </w:rPr>
        <w:fldChar w:fldCharType="begin"/>
      </w:r>
      <w:r>
        <w:rPr>
          <w:rFonts w:ascii="宋体" w:hAnsi="宋体" w:cs="宋体"/>
          <w:szCs w:val="21"/>
        </w:rPr>
        <w:instrText xml:space="preserve"> HYPERLINK \l _Toc22069 </w:instrText>
      </w:r>
      <w:r>
        <w:rPr>
          <w:rFonts w:ascii="宋体" w:hAnsi="宋体" w:cs="宋体"/>
          <w:szCs w:val="21"/>
        </w:rPr>
        <w:fldChar w:fldCharType="separate"/>
      </w:r>
      <w:r>
        <w:rPr>
          <w:rFonts w:hint="eastAsia" w:ascii="宋体" w:hAnsi="宋体" w:cs="宋体"/>
        </w:rPr>
        <w:t>第六部分 采购内容及要求</w:t>
      </w:r>
      <w:r>
        <w:tab/>
      </w:r>
      <w:r>
        <w:fldChar w:fldCharType="begin"/>
      </w:r>
      <w:r>
        <w:instrText xml:space="preserve"> PAGEREF _Toc22069 \h </w:instrText>
      </w:r>
      <w:r>
        <w:fldChar w:fldCharType="separate"/>
      </w:r>
      <w:r>
        <w:t>42</w:t>
      </w:r>
      <w:r>
        <w:fldChar w:fldCharType="end"/>
      </w:r>
      <w:r>
        <w:rPr>
          <w:rFonts w:ascii="宋体" w:hAnsi="宋体" w:cs="宋体"/>
          <w:szCs w:val="21"/>
        </w:rPr>
        <w:fldChar w:fldCharType="end"/>
      </w:r>
    </w:p>
    <w:p>
      <w:pPr>
        <w:rPr>
          <w:rFonts w:ascii="宋体" w:hAnsi="宋体" w:cs="宋体"/>
          <w:szCs w:val="21"/>
        </w:rPr>
      </w:pPr>
      <w:r>
        <w:rPr>
          <w:rFonts w:ascii="宋体" w:hAnsi="宋体" w:cs="宋体"/>
          <w:szCs w:val="21"/>
        </w:rPr>
        <w:fldChar w:fldCharType="end"/>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pStyle w:val="50"/>
        <w:spacing w:before="120" w:after="120"/>
        <w:ind w:firstLine="0"/>
        <w:rPr>
          <w:rFonts w:ascii="宋体" w:hAnsi="宋体" w:cs="宋体"/>
          <w:szCs w:val="21"/>
        </w:rPr>
      </w:pPr>
    </w:p>
    <w:p>
      <w:pPr>
        <w:pStyle w:val="3"/>
        <w:spacing w:line="360" w:lineRule="auto"/>
        <w:jc w:val="center"/>
        <w:rPr>
          <w:rFonts w:ascii="宋体" w:hAnsi="宋体" w:cs="宋体"/>
          <w:sz w:val="36"/>
        </w:rPr>
      </w:pPr>
      <w:bookmarkStart w:id="14" w:name="_Toc3240"/>
      <w:bookmarkStart w:id="15" w:name="_Toc13069"/>
      <w:bookmarkStart w:id="16" w:name="_Toc7536"/>
      <w:bookmarkStart w:id="17" w:name="_Toc25434"/>
      <w:r>
        <w:rPr>
          <w:rFonts w:hint="eastAsia" w:ascii="宋体" w:hAnsi="宋体" w:cs="宋体"/>
          <w:sz w:val="36"/>
        </w:rPr>
        <w:t>第一部分</w:t>
      </w:r>
      <w:bookmarkEnd w:id="8"/>
      <w:r>
        <w:rPr>
          <w:rFonts w:hint="eastAsia" w:ascii="宋体" w:hAnsi="宋体" w:cs="宋体"/>
          <w:sz w:val="36"/>
        </w:rPr>
        <w:t xml:space="preserve">  </w:t>
      </w:r>
      <w:bookmarkEnd w:id="9"/>
      <w:r>
        <w:rPr>
          <w:rFonts w:hint="eastAsia" w:ascii="宋体" w:hAnsi="宋体" w:cs="宋体"/>
          <w:sz w:val="36"/>
        </w:rPr>
        <w:t>磋商公告</w:t>
      </w:r>
      <w:bookmarkEnd w:id="10"/>
      <w:bookmarkEnd w:id="11"/>
      <w:bookmarkEnd w:id="12"/>
      <w:bookmarkEnd w:id="13"/>
      <w:bookmarkEnd w:id="14"/>
      <w:bookmarkEnd w:id="15"/>
      <w:bookmarkEnd w:id="16"/>
      <w:bookmarkEnd w:id="17"/>
    </w:p>
    <w:p>
      <w:pPr>
        <w:pStyle w:val="36"/>
        <w:shd w:val="clear" w:color="auto" w:fill="FFFFFF"/>
        <w:spacing w:before="50" w:beforeAutospacing="0" w:after="220" w:afterAutospacing="0" w:line="360" w:lineRule="auto"/>
        <w:textAlignment w:val="baseline"/>
        <w:rPr>
          <w:rFonts w:cs="宋体"/>
          <w:szCs w:val="24"/>
        </w:rPr>
      </w:pPr>
      <w:bookmarkStart w:id="18" w:name="_Toc27657"/>
      <w:bookmarkStart w:id="19" w:name="_Toc246928893"/>
      <w:bookmarkStart w:id="20" w:name="_Toc11897"/>
      <w:bookmarkStart w:id="21" w:name="_Toc3576"/>
      <w:r>
        <w:rPr>
          <w:rStyle w:val="44"/>
          <w:rFonts w:hint="eastAsia" w:cs="宋体"/>
          <w:bCs/>
          <w:shd w:val="clear" w:color="auto" w:fill="FFFFFF"/>
        </w:rPr>
        <w:t>一、项目基本情况</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项目名称：陕西师范大学附属中学电动车充电桩安装及维保服务</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采购方式：磋商</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采购需求：电动车充电桩安装及维保服务</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合同履行期限：按合同约定执行</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本项目(不接受 )联合体投标。</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二、申请人的资格要求：</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1.满足《中华人民共和国政府采购法》第二十二条规定；</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2.落实政府采购政策需满足的资格要求：</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（1）具有独立承担民事责任的能力；</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（2）具有良好的商业信誉和健全的财务会计制度；</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（3）具有履行合同所必需的设备和专业技术能力；</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 xml:space="preserve">（4）有依法缴纳税收和社会保障资金的良好记录； </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（5）参加政府采购活动前三年内，在经营活动中没有重大违法记录；</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（6）法律、行政法规规定的其他条件。</w:t>
      </w:r>
    </w:p>
    <w:p>
      <w:pPr>
        <w:pStyle w:val="36"/>
        <w:shd w:val="clear" w:color="auto" w:fill="FFFFFF"/>
        <w:spacing w:before="50" w:beforeAutospacing="0" w:after="220" w:afterAutospacing="0" w:line="360" w:lineRule="auto"/>
        <w:textAlignment w:val="baseline"/>
        <w:rPr>
          <w:rFonts w:hint="eastAsia" w:cs="宋体"/>
          <w:szCs w:val="24"/>
          <w:shd w:val="clear" w:color="auto" w:fill="FFFFFF"/>
        </w:rPr>
      </w:pPr>
      <w:r>
        <w:rPr>
          <w:rFonts w:hint="eastAsia" w:cs="宋体"/>
          <w:szCs w:val="24"/>
          <w:shd w:val="clear" w:color="auto" w:fill="FFFFFF"/>
        </w:rPr>
        <w:t xml:space="preserve">3.本项目的特定资格要求：    </w:t>
      </w:r>
    </w:p>
    <w:p>
      <w:pPr>
        <w:pStyle w:val="36"/>
        <w:numPr>
          <w:ilvl w:val="0"/>
          <w:numId w:val="2"/>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eastAsia" w:cs="宋体"/>
          <w:szCs w:val="24"/>
          <w:shd w:val="clear" w:color="auto" w:fill="FFFFFF"/>
        </w:rPr>
        <w:t>营业执照的经营范围涵盖电动车充电桩相关内容，且在有效期内。</w:t>
      </w:r>
    </w:p>
    <w:p>
      <w:pPr>
        <w:pStyle w:val="36"/>
        <w:numPr>
          <w:ilvl w:val="0"/>
          <w:numId w:val="2"/>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eastAsia" w:cs="宋体"/>
          <w:szCs w:val="24"/>
          <w:shd w:val="clear" w:color="auto" w:fill="FFFFFF"/>
        </w:rPr>
        <w:t>充电桩及配套设备有相关质检部门的质检报告且在有效期内。</w:t>
      </w:r>
    </w:p>
    <w:p>
      <w:pPr>
        <w:pStyle w:val="36"/>
        <w:numPr>
          <w:ilvl w:val="0"/>
          <w:numId w:val="2"/>
        </w:numPr>
        <w:shd w:val="clear" w:color="auto" w:fill="FFFFFF"/>
        <w:spacing w:before="50" w:beforeAutospacing="0" w:after="220" w:afterAutospacing="0" w:line="360" w:lineRule="auto"/>
        <w:ind w:left="425" w:leftChars="0" w:hanging="425" w:firstLineChars="0"/>
        <w:textAlignment w:val="baseline"/>
        <w:rPr>
          <w:rFonts w:cs="宋体"/>
          <w:szCs w:val="24"/>
        </w:rPr>
      </w:pPr>
      <w:r>
        <w:rPr>
          <w:rFonts w:hint="eastAsia" w:cs="宋体"/>
          <w:szCs w:val="24"/>
          <w:shd w:val="clear" w:color="auto" w:fill="FFFFFF"/>
        </w:rPr>
        <w:t>为充电桩投保且保单在有效期内。</w:t>
      </w:r>
    </w:p>
    <w:p>
      <w:pPr>
        <w:pStyle w:val="36"/>
        <w:numPr>
          <w:ilvl w:val="0"/>
          <w:numId w:val="3"/>
        </w:numPr>
        <w:shd w:val="clear" w:color="auto" w:fill="FFFFFF"/>
        <w:spacing w:before="50" w:beforeAutospacing="0" w:after="220" w:afterAutospacing="0" w:line="360" w:lineRule="auto"/>
        <w:textAlignment w:val="baseline"/>
        <w:rPr>
          <w:rStyle w:val="44"/>
          <w:rFonts w:hint="eastAsia" w:cs="宋体"/>
          <w:bCs/>
          <w:shd w:val="clear" w:color="auto" w:fill="FFFFFF"/>
        </w:rPr>
      </w:pPr>
      <w:r>
        <w:rPr>
          <w:rStyle w:val="44"/>
          <w:rFonts w:hint="eastAsia" w:cs="宋体"/>
          <w:bCs/>
          <w:shd w:val="clear" w:color="auto" w:fill="FFFFFF"/>
        </w:rPr>
        <w:t>报名方式</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lang w:val="en-US" w:eastAsia="zh-CN"/>
        </w:rPr>
      </w:pPr>
      <w:r>
        <w:rPr>
          <w:rFonts w:hint="eastAsia" w:cs="宋体"/>
          <w:szCs w:val="24"/>
          <w:shd w:val="clear" w:color="auto" w:fill="FFFFFF"/>
          <w:lang w:val="en-US" w:eastAsia="zh-CN"/>
        </w:rPr>
        <w:t>报名时间：2023年9月7日至2023年9月11日；</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lang w:val="en-US" w:eastAsia="zh-CN"/>
        </w:rPr>
      </w:pPr>
      <w:r>
        <w:rPr>
          <w:rFonts w:hint="eastAsia" w:cs="宋体"/>
          <w:szCs w:val="24"/>
          <w:shd w:val="clear" w:color="auto" w:fill="FFFFFF"/>
        </w:rPr>
        <w:t>只接受邮件报名，报名邮箱：</w:t>
      </w:r>
      <w:r>
        <w:rPr>
          <w:rFonts w:hint="eastAsia" w:cs="宋体"/>
          <w:szCs w:val="24"/>
          <w:shd w:val="clear" w:color="auto" w:fill="FFFFFF"/>
          <w:lang w:val="en-US" w:eastAsia="zh-CN"/>
        </w:rPr>
        <w:fldChar w:fldCharType="begin"/>
      </w:r>
      <w:r>
        <w:rPr>
          <w:rFonts w:hint="eastAsia" w:cs="宋体"/>
          <w:szCs w:val="24"/>
          <w:shd w:val="clear" w:color="auto" w:fill="FFFFFF"/>
          <w:lang w:val="en-US" w:eastAsia="zh-CN"/>
        </w:rPr>
        <w:instrText xml:space="preserve"> HYPERLINK "mailto:434466637@qq.com" </w:instrText>
      </w:r>
      <w:r>
        <w:rPr>
          <w:rFonts w:hint="eastAsia" w:cs="宋体"/>
          <w:szCs w:val="24"/>
          <w:shd w:val="clear" w:color="auto" w:fill="FFFFFF"/>
          <w:lang w:val="en-US" w:eastAsia="zh-CN"/>
        </w:rPr>
        <w:fldChar w:fldCharType="separate"/>
      </w:r>
      <w:r>
        <w:rPr>
          <w:rFonts w:hint="eastAsia" w:cs="宋体"/>
          <w:szCs w:val="24"/>
          <w:shd w:val="clear" w:color="auto" w:fill="FFFFFF"/>
          <w:lang w:val="en-US" w:eastAsia="zh-CN"/>
        </w:rPr>
        <w:t>434466637</w:t>
      </w:r>
      <w:r>
        <w:rPr>
          <w:rFonts w:hint="eastAsia" w:cs="宋体"/>
          <w:szCs w:val="24"/>
          <w:shd w:val="clear" w:color="auto" w:fill="FFFFFF"/>
        </w:rPr>
        <w:t>@qq.com</w:t>
      </w:r>
      <w:r>
        <w:rPr>
          <w:rFonts w:hint="eastAsia" w:cs="宋体"/>
          <w:szCs w:val="24"/>
          <w:shd w:val="clear" w:color="auto" w:fill="FFFFFF"/>
          <w:lang w:val="en-US" w:eastAsia="zh-CN"/>
        </w:rPr>
        <w:fldChar w:fldCharType="end"/>
      </w:r>
      <w:r>
        <w:rPr>
          <w:rFonts w:hint="eastAsia" w:cs="宋体"/>
          <w:szCs w:val="24"/>
          <w:shd w:val="clear" w:color="auto" w:fill="FFFFFF"/>
          <w:lang w:val="en-US" w:eastAsia="zh-CN"/>
        </w:rPr>
        <w:t>；</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eastAsia" w:cs="宋体"/>
          <w:szCs w:val="24"/>
          <w:shd w:val="clear" w:color="auto" w:fill="FFFFFF"/>
        </w:rPr>
        <w:t>报名单位请将资质文件发送至报名邮箱，扫描件要求清晰可辨；</w:t>
      </w:r>
    </w:p>
    <w:p>
      <w:pPr>
        <w:pStyle w:val="36"/>
        <w:numPr>
          <w:ilvl w:val="0"/>
          <w:numId w:val="4"/>
        </w:numPr>
        <w:shd w:val="clear" w:color="auto" w:fill="FFFFFF"/>
        <w:spacing w:before="50" w:beforeAutospacing="0" w:after="220" w:afterAutospacing="0" w:line="360" w:lineRule="auto"/>
        <w:ind w:left="425" w:leftChars="0" w:hanging="425" w:firstLineChars="0"/>
        <w:textAlignment w:val="baseline"/>
        <w:rPr>
          <w:rFonts w:hint="eastAsia" w:cs="宋体"/>
          <w:szCs w:val="24"/>
          <w:shd w:val="clear" w:color="auto" w:fill="FFFFFF"/>
        </w:rPr>
      </w:pPr>
      <w:r>
        <w:rPr>
          <w:rFonts w:hint="default" w:cs="宋体"/>
          <w:szCs w:val="24"/>
          <w:shd w:val="clear" w:color="auto" w:fill="FFFFFF"/>
        </w:rPr>
        <w:t>报名单位须保证扫描件与原件一致，否则由此产生的后果由报名单位承担。</w:t>
      </w:r>
    </w:p>
    <w:p>
      <w:pPr>
        <w:pStyle w:val="36"/>
        <w:numPr>
          <w:ilvl w:val="0"/>
          <w:numId w:val="0"/>
        </w:numPr>
        <w:shd w:val="clear" w:color="auto" w:fill="FFFFFF"/>
        <w:spacing w:before="50" w:beforeAutospacing="0" w:after="220" w:afterAutospacing="0" w:line="360" w:lineRule="auto"/>
        <w:ind w:leftChars="0"/>
        <w:textAlignment w:val="baseline"/>
        <w:rPr>
          <w:rFonts w:hint="eastAsia" w:cs="宋体"/>
          <w:szCs w:val="24"/>
          <w:shd w:val="clear" w:color="auto" w:fill="FFFFFF"/>
          <w:lang w:val="en-US" w:eastAsia="zh-CN"/>
        </w:rPr>
      </w:pPr>
      <w:r>
        <w:rPr>
          <w:rFonts w:hint="eastAsia" w:cs="宋体"/>
          <w:szCs w:val="24"/>
          <w:shd w:val="clear" w:color="auto" w:fill="FFFFFF"/>
          <w:lang w:val="en-US" w:eastAsia="zh-CN"/>
        </w:rPr>
        <w:t>踏勘现场：统一组织供应商踏勘</w:t>
      </w:r>
    </w:p>
    <w:p>
      <w:pPr>
        <w:pStyle w:val="36"/>
        <w:numPr>
          <w:ilvl w:val="0"/>
          <w:numId w:val="0"/>
        </w:numPr>
        <w:shd w:val="clear" w:color="auto" w:fill="FFFFFF"/>
        <w:spacing w:before="50" w:beforeAutospacing="0" w:after="220" w:afterAutospacing="0" w:line="360" w:lineRule="auto"/>
        <w:ind w:leftChars="0"/>
        <w:textAlignment w:val="baseline"/>
        <w:rPr>
          <w:rFonts w:hint="default" w:cs="宋体"/>
          <w:szCs w:val="24"/>
          <w:shd w:val="clear" w:color="auto" w:fill="FFFFFF"/>
          <w:lang w:val="en-US" w:eastAsia="zh-CN"/>
        </w:rPr>
      </w:pPr>
      <w:r>
        <w:rPr>
          <w:rFonts w:hint="eastAsia" w:cs="宋体"/>
          <w:szCs w:val="24"/>
          <w:shd w:val="clear" w:color="auto" w:fill="FFFFFF"/>
          <w:lang w:val="en-US" w:eastAsia="zh-CN"/>
        </w:rPr>
        <w:t>踏勘时间：2023年9月12日8：30</w:t>
      </w:r>
    </w:p>
    <w:p>
      <w:pPr>
        <w:pStyle w:val="36"/>
        <w:numPr>
          <w:ilvl w:val="0"/>
          <w:numId w:val="0"/>
        </w:numPr>
        <w:shd w:val="clear" w:color="auto" w:fill="FFFFFF"/>
        <w:spacing w:before="50" w:beforeAutospacing="0" w:after="220" w:afterAutospacing="0" w:line="360" w:lineRule="auto"/>
        <w:ind w:leftChars="0"/>
        <w:textAlignment w:val="baseline"/>
        <w:rPr>
          <w:rFonts w:hint="default" w:cs="宋体"/>
          <w:szCs w:val="24"/>
          <w:shd w:val="clear" w:color="auto" w:fill="FFFFFF"/>
          <w:lang w:val="en-US" w:eastAsia="zh-CN"/>
        </w:rPr>
      </w:pPr>
      <w:r>
        <w:rPr>
          <w:rFonts w:hint="eastAsia" w:cs="宋体"/>
          <w:szCs w:val="24"/>
          <w:shd w:val="clear" w:color="auto" w:fill="FFFFFF"/>
          <w:lang w:val="en-US" w:eastAsia="zh-CN"/>
        </w:rPr>
        <w:t>集合地点：陕西师范大学附属中学雁塔校区东门</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四、响应文件提交</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截止时间：2023年</w:t>
      </w:r>
      <w:r>
        <w:rPr>
          <w:rFonts w:hint="eastAsia" w:cs="宋体"/>
          <w:szCs w:val="24"/>
          <w:shd w:val="clear" w:color="auto" w:fill="FFFFFF"/>
          <w:lang w:val="en-US" w:eastAsia="zh-CN"/>
        </w:rPr>
        <w:t>9</w:t>
      </w:r>
      <w:r>
        <w:rPr>
          <w:rFonts w:hint="eastAsia" w:cs="宋体"/>
          <w:szCs w:val="24"/>
          <w:shd w:val="clear" w:color="auto" w:fill="FFFFFF"/>
        </w:rPr>
        <w:t>月</w:t>
      </w:r>
      <w:r>
        <w:rPr>
          <w:rFonts w:hint="eastAsia" w:cs="宋体"/>
          <w:szCs w:val="24"/>
          <w:shd w:val="clear" w:color="auto" w:fill="FFFFFF"/>
          <w:lang w:val="en-US" w:eastAsia="zh-CN"/>
        </w:rPr>
        <w:t>13</w:t>
      </w:r>
      <w:r>
        <w:rPr>
          <w:rFonts w:hint="eastAsia" w:cs="宋体"/>
          <w:szCs w:val="24"/>
          <w:shd w:val="clear" w:color="auto" w:fill="FFFFFF"/>
        </w:rPr>
        <w:t xml:space="preserve">日 </w:t>
      </w:r>
      <w:r>
        <w:rPr>
          <w:rFonts w:hint="eastAsia" w:cs="宋体"/>
          <w:szCs w:val="24"/>
          <w:shd w:val="clear" w:color="auto" w:fill="FFFFFF"/>
          <w:lang w:val="en-US" w:eastAsia="zh-CN"/>
        </w:rPr>
        <w:t>8点30</w:t>
      </w:r>
      <w:r>
        <w:rPr>
          <w:rFonts w:hint="eastAsia" w:cs="宋体"/>
          <w:szCs w:val="24"/>
          <w:shd w:val="clear" w:color="auto" w:fill="FFFFFF"/>
        </w:rPr>
        <w:t>分（北京时间）</w:t>
      </w:r>
    </w:p>
    <w:p>
      <w:pPr>
        <w:pStyle w:val="36"/>
        <w:shd w:val="clear" w:color="auto" w:fill="FFFFFF"/>
        <w:spacing w:before="50" w:beforeAutospacing="0" w:after="220" w:afterAutospacing="0" w:line="360" w:lineRule="auto"/>
        <w:textAlignment w:val="baseline"/>
        <w:rPr>
          <w:rFonts w:hint="default" w:eastAsia="宋体" w:cs="宋体"/>
          <w:szCs w:val="24"/>
          <w:shd w:val="clear" w:color="auto" w:fill="FFFFFF"/>
          <w:lang w:val="en-US" w:eastAsia="zh-CN"/>
        </w:rPr>
      </w:pPr>
      <w:r>
        <w:rPr>
          <w:rFonts w:hint="eastAsia" w:cs="宋体"/>
          <w:szCs w:val="24"/>
          <w:shd w:val="clear" w:color="auto" w:fill="FFFFFF"/>
        </w:rPr>
        <w:t>地点：陕西师范大学附属中学</w:t>
      </w:r>
      <w:r>
        <w:rPr>
          <w:rFonts w:hint="eastAsia" w:cs="宋体"/>
          <w:szCs w:val="24"/>
          <w:shd w:val="clear" w:color="auto" w:fill="FFFFFF"/>
          <w:lang w:val="en-US" w:eastAsia="zh-CN"/>
        </w:rPr>
        <w:t>崇是楼5楼大会议室</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五、开启</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时间：2023年</w:t>
      </w:r>
      <w:r>
        <w:rPr>
          <w:rFonts w:hint="eastAsia" w:cs="宋体"/>
          <w:szCs w:val="24"/>
          <w:shd w:val="clear" w:color="auto" w:fill="FFFFFF"/>
          <w:lang w:val="en-US" w:eastAsia="zh-CN"/>
        </w:rPr>
        <w:t>9</w:t>
      </w:r>
      <w:r>
        <w:rPr>
          <w:rFonts w:hint="eastAsia" w:cs="宋体"/>
          <w:szCs w:val="24"/>
          <w:shd w:val="clear" w:color="auto" w:fill="FFFFFF"/>
        </w:rPr>
        <w:t>月</w:t>
      </w:r>
      <w:r>
        <w:rPr>
          <w:rFonts w:hint="eastAsia" w:cs="宋体"/>
          <w:szCs w:val="24"/>
          <w:shd w:val="clear" w:color="auto" w:fill="FFFFFF"/>
          <w:lang w:val="en-US" w:eastAsia="zh-CN"/>
        </w:rPr>
        <w:t>13</w:t>
      </w:r>
      <w:r>
        <w:rPr>
          <w:rFonts w:hint="eastAsia" w:cs="宋体"/>
          <w:szCs w:val="24"/>
          <w:shd w:val="clear" w:color="auto" w:fill="FFFFFF"/>
        </w:rPr>
        <w:t xml:space="preserve">日 </w:t>
      </w:r>
      <w:r>
        <w:rPr>
          <w:rFonts w:hint="eastAsia" w:cs="宋体"/>
          <w:szCs w:val="24"/>
          <w:shd w:val="clear" w:color="auto" w:fill="FFFFFF"/>
          <w:lang w:val="en-US" w:eastAsia="zh-CN"/>
        </w:rPr>
        <w:t>8点30</w:t>
      </w:r>
      <w:r>
        <w:rPr>
          <w:rFonts w:hint="eastAsia" w:cs="宋体"/>
          <w:szCs w:val="24"/>
          <w:shd w:val="clear" w:color="auto" w:fill="FFFFFF"/>
        </w:rPr>
        <w:t>分（北京时间）</w:t>
      </w:r>
    </w:p>
    <w:p>
      <w:pPr>
        <w:pStyle w:val="36"/>
        <w:shd w:val="clear" w:color="auto" w:fill="FFFFFF"/>
        <w:spacing w:before="50" w:beforeAutospacing="0" w:after="220" w:afterAutospacing="0" w:line="360" w:lineRule="auto"/>
        <w:textAlignment w:val="baseline"/>
        <w:rPr>
          <w:rFonts w:hint="default" w:eastAsia="宋体" w:cs="宋体"/>
          <w:szCs w:val="24"/>
          <w:shd w:val="clear" w:color="auto" w:fill="FFFFFF"/>
          <w:lang w:val="en-US" w:eastAsia="zh-CN"/>
        </w:rPr>
      </w:pPr>
      <w:r>
        <w:rPr>
          <w:rFonts w:hint="eastAsia" w:cs="宋体"/>
          <w:szCs w:val="24"/>
          <w:shd w:val="clear" w:color="auto" w:fill="FFFFFF"/>
        </w:rPr>
        <w:t>地点：陕西师范大学附属中学</w:t>
      </w:r>
      <w:r>
        <w:rPr>
          <w:rFonts w:hint="eastAsia" w:cs="宋体"/>
          <w:szCs w:val="24"/>
          <w:shd w:val="clear" w:color="auto" w:fill="FFFFFF"/>
          <w:lang w:val="en-US" w:eastAsia="zh-CN"/>
        </w:rPr>
        <w:t>崇是楼5楼大会议室</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六、公告期限</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自本公告发布之日起</w:t>
      </w:r>
      <w:r>
        <w:rPr>
          <w:rFonts w:hint="eastAsia" w:cs="宋体"/>
          <w:szCs w:val="24"/>
          <w:shd w:val="clear" w:color="auto" w:fill="FFFFFF"/>
          <w:lang w:val="en-US" w:eastAsia="zh-CN"/>
        </w:rPr>
        <w:t>3</w:t>
      </w:r>
      <w:r>
        <w:rPr>
          <w:rFonts w:hint="eastAsia" w:cs="宋体"/>
          <w:szCs w:val="24"/>
          <w:shd w:val="clear" w:color="auto" w:fill="FFFFFF"/>
        </w:rPr>
        <w:t>个工作日。</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七、其他补充事宜</w:t>
      </w:r>
    </w:p>
    <w:p>
      <w:pPr>
        <w:pStyle w:val="36"/>
        <w:shd w:val="clear" w:color="auto" w:fill="FFFFFF"/>
        <w:spacing w:before="50" w:beforeAutospacing="0" w:after="220" w:afterAutospacing="0" w:line="360" w:lineRule="auto"/>
        <w:ind w:firstLine="480" w:firstLineChars="200"/>
        <w:textAlignment w:val="baseline"/>
        <w:rPr>
          <w:rFonts w:cs="宋体"/>
          <w:szCs w:val="24"/>
          <w:shd w:val="clear" w:color="auto" w:fill="FFFFFF"/>
        </w:rPr>
      </w:pPr>
      <w:r>
        <w:rPr>
          <w:rFonts w:hint="eastAsia" w:cs="宋体"/>
          <w:szCs w:val="24"/>
          <w:shd w:val="clear" w:color="auto" w:fill="FFFFFF"/>
        </w:rPr>
        <w:t>1.本项目落实采购政策：《政府采购促进中小企业发展管理办法》（财库〔2020〕46号）；《财政部司法部关于政府采购提供监狱企业发展有关问题的通知》</w:t>
      </w:r>
      <w:r>
        <w:rPr>
          <w:rFonts w:hint="eastAsia" w:cs="宋体"/>
          <w:szCs w:val="24"/>
          <w:shd w:val="clear" w:color="auto" w:fill="FFFFFF"/>
          <w:lang w:val="en-US" w:eastAsia="zh-CN"/>
        </w:rPr>
        <w:t xml:space="preserve"> </w:t>
      </w:r>
      <w:r>
        <w:rPr>
          <w:rFonts w:hint="eastAsia" w:cs="宋体"/>
          <w:szCs w:val="24"/>
          <w:shd w:val="clear" w:color="auto" w:fill="FFFFFF"/>
        </w:rPr>
        <w:t>（财库〔2014〕68号）；《关于促进残疾人就业政府采购政策的通知》（财库〔2017〕141号）；《国务院办公厅关于建立政府强制采购节能产品制度的通知》（国办发〔2007〕51号）；《节能产品政府采购实施意见》（财库[2004]185号）；《环境标志产品政府采购实施的意见》（财库[2006]90号）。</w:t>
      </w:r>
    </w:p>
    <w:p>
      <w:pPr>
        <w:widowControl/>
        <w:spacing w:line="360" w:lineRule="auto"/>
        <w:ind w:firstLine="480" w:firstLineChars="200"/>
        <w:jc w:val="left"/>
        <w:rPr>
          <w:rFonts w:cs="宋体"/>
          <w:szCs w:val="24"/>
          <w:shd w:val="clear" w:color="auto" w:fill="FFFFFF"/>
        </w:rPr>
      </w:pPr>
      <w:r>
        <w:rPr>
          <w:rFonts w:hint="eastAsia" w:ascii="宋体" w:hAnsi="宋体" w:cs="宋体"/>
          <w:kern w:val="0"/>
          <w:sz w:val="24"/>
          <w:szCs w:val="24"/>
          <w:shd w:val="clear" w:color="auto" w:fill="FFFFFF"/>
        </w:rPr>
        <w:t>2.请响应供应商的法定代表人（经营者、单位负责人）或其授权代表携带响应文件出席磋商大会，签到时间以递交响应文件时间为准。签到时应主动出示身份证明原件。</w:t>
      </w:r>
    </w:p>
    <w:p>
      <w:pPr>
        <w:pStyle w:val="36"/>
        <w:shd w:val="clear" w:color="auto" w:fill="FFFFFF"/>
        <w:spacing w:before="50" w:beforeAutospacing="0" w:after="220" w:afterAutospacing="0" w:line="360" w:lineRule="auto"/>
        <w:textAlignment w:val="baseline"/>
        <w:rPr>
          <w:rFonts w:cs="宋体"/>
          <w:szCs w:val="24"/>
        </w:rPr>
      </w:pPr>
      <w:r>
        <w:rPr>
          <w:rStyle w:val="44"/>
          <w:rFonts w:hint="eastAsia" w:cs="宋体"/>
          <w:bCs/>
          <w:shd w:val="clear" w:color="auto" w:fill="FFFFFF"/>
        </w:rPr>
        <w:t>八、凡对本次采购提出询问，请按以下方式联系。</w:t>
      </w:r>
    </w:p>
    <w:p>
      <w:pPr>
        <w:pStyle w:val="36"/>
        <w:shd w:val="clear" w:color="auto" w:fill="FFFFFF"/>
        <w:spacing w:before="50" w:beforeAutospacing="0" w:after="220" w:afterAutospacing="0" w:line="360" w:lineRule="auto"/>
        <w:textAlignment w:val="baseline"/>
        <w:rPr>
          <w:rFonts w:cs="宋体"/>
          <w:szCs w:val="24"/>
          <w:shd w:val="clear" w:color="auto" w:fill="FFFFFF"/>
        </w:rPr>
      </w:pPr>
      <w:r>
        <w:rPr>
          <w:rFonts w:hint="eastAsia" w:cs="宋体"/>
          <w:szCs w:val="24"/>
          <w:shd w:val="clear" w:color="auto" w:fill="FFFFFF"/>
        </w:rPr>
        <w:t xml:space="preserve">招 标 人：陕西师范大学附属中学 </w:t>
      </w:r>
    </w:p>
    <w:p>
      <w:pPr>
        <w:pStyle w:val="36"/>
        <w:shd w:val="clear" w:color="auto" w:fill="FFFFFF"/>
        <w:spacing w:before="50" w:beforeAutospacing="0" w:after="220" w:afterAutospacing="0" w:line="360" w:lineRule="auto"/>
        <w:textAlignment w:val="baseline"/>
        <w:rPr>
          <w:rFonts w:cs="宋体"/>
          <w:szCs w:val="24"/>
        </w:rPr>
      </w:pPr>
      <w:r>
        <w:rPr>
          <w:rFonts w:hint="eastAsia" w:cs="宋体"/>
          <w:szCs w:val="24"/>
          <w:shd w:val="clear" w:color="auto" w:fill="FFFFFF"/>
        </w:rPr>
        <w:t>地 址：陕西省西安市雁塔区翠华路 115 号　　　　　　　　</w:t>
      </w:r>
    </w:p>
    <w:p>
      <w:pPr>
        <w:pStyle w:val="36"/>
        <w:shd w:val="clear" w:color="auto" w:fill="FFFFFF"/>
        <w:spacing w:before="50" w:beforeAutospacing="0" w:after="220" w:afterAutospacing="0" w:line="360" w:lineRule="auto"/>
        <w:textAlignment w:val="baseline"/>
        <w:rPr>
          <w:rFonts w:hint="default" w:eastAsia="宋体" w:cs="宋体"/>
          <w:szCs w:val="24"/>
          <w:lang w:val="en-US" w:eastAsia="zh-CN"/>
        </w:rPr>
      </w:pPr>
      <w:r>
        <w:rPr>
          <w:rFonts w:hint="eastAsia" w:cs="宋体"/>
          <w:szCs w:val="24"/>
          <w:shd w:val="clear" w:color="auto" w:fill="FFFFFF"/>
        </w:rPr>
        <w:t>联系方式：</w:t>
      </w:r>
      <w:r>
        <w:rPr>
          <w:rFonts w:hint="eastAsia" w:cs="宋体"/>
          <w:szCs w:val="24"/>
          <w:shd w:val="clear" w:color="auto" w:fill="FFFFFF"/>
          <w:lang w:val="en-US" w:eastAsia="zh-CN"/>
        </w:rPr>
        <w:t>尤</w:t>
      </w:r>
      <w:r>
        <w:rPr>
          <w:rFonts w:hint="eastAsia" w:cs="宋体"/>
          <w:szCs w:val="24"/>
          <w:shd w:val="clear" w:color="auto" w:fill="FFFFFF"/>
        </w:rPr>
        <w:t>老师  029-8</w:t>
      </w:r>
      <w:r>
        <w:rPr>
          <w:rFonts w:cs="宋体"/>
          <w:szCs w:val="24"/>
          <w:shd w:val="clear" w:color="auto" w:fill="FFFFFF"/>
        </w:rPr>
        <w:t>52</w:t>
      </w:r>
      <w:r>
        <w:rPr>
          <w:rFonts w:hint="eastAsia" w:cs="宋体"/>
          <w:szCs w:val="24"/>
          <w:shd w:val="clear" w:color="auto" w:fill="FFFFFF"/>
          <w:lang w:val="en-US" w:eastAsia="zh-CN"/>
        </w:rPr>
        <w:t>01851    18789098600</w:t>
      </w:r>
    </w:p>
    <w:p>
      <w:pPr>
        <w:pStyle w:val="3"/>
        <w:spacing w:line="360" w:lineRule="auto"/>
        <w:outlineLvl w:val="9"/>
        <w:rPr>
          <w:rFonts w:ascii="宋体" w:hAnsi="宋体" w:cs="宋体"/>
          <w:sz w:val="36"/>
        </w:rPr>
      </w:pPr>
      <w:bookmarkStart w:id="22" w:name="_Toc7770"/>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pStyle w:val="3"/>
        <w:spacing w:line="360" w:lineRule="auto"/>
        <w:outlineLvl w:val="9"/>
        <w:rPr>
          <w:rFonts w:ascii="宋体" w:hAnsi="宋体" w:cs="宋体"/>
          <w:sz w:val="36"/>
        </w:rPr>
      </w:pPr>
    </w:p>
    <w:p>
      <w:pPr>
        <w:rPr>
          <w:rFonts w:ascii="宋体" w:hAnsi="宋体" w:cs="宋体"/>
          <w:sz w:val="36"/>
        </w:rPr>
      </w:pPr>
      <w:r>
        <w:rPr>
          <w:rFonts w:hint="eastAsia" w:ascii="宋体" w:hAnsi="宋体" w:cs="宋体"/>
          <w:sz w:val="36"/>
        </w:rPr>
        <w:br w:type="page"/>
      </w:r>
    </w:p>
    <w:p>
      <w:pPr>
        <w:pStyle w:val="3"/>
        <w:spacing w:line="360" w:lineRule="auto"/>
        <w:jc w:val="center"/>
        <w:rPr>
          <w:rFonts w:ascii="宋体" w:hAnsi="宋体" w:cs="宋体"/>
          <w:sz w:val="36"/>
        </w:rPr>
      </w:pPr>
      <w:bookmarkStart w:id="23" w:name="_Toc3320"/>
      <w:bookmarkStart w:id="24" w:name="_Toc27096"/>
      <w:bookmarkStart w:id="25" w:name="_Toc25164"/>
      <w:bookmarkStart w:id="26" w:name="_Toc21557"/>
      <w:r>
        <w:rPr>
          <w:rFonts w:hint="eastAsia" w:ascii="宋体" w:hAnsi="宋体" w:cs="宋体"/>
          <w:sz w:val="36"/>
        </w:rPr>
        <w:t>第二部分  供应商须知前附表</w:t>
      </w:r>
      <w:bookmarkEnd w:id="18"/>
      <w:bookmarkEnd w:id="19"/>
      <w:bookmarkEnd w:id="20"/>
      <w:bookmarkEnd w:id="21"/>
      <w:bookmarkEnd w:id="22"/>
      <w:bookmarkEnd w:id="23"/>
      <w:bookmarkEnd w:id="24"/>
      <w:bookmarkEnd w:id="25"/>
      <w:bookmarkEnd w:id="26"/>
    </w:p>
    <w:tbl>
      <w:tblPr>
        <w:tblStyle w:val="41"/>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7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227" w:type="dxa"/>
            <w:vAlign w:val="center"/>
          </w:tcPr>
          <w:p>
            <w:pPr>
              <w:spacing w:line="360" w:lineRule="auto"/>
              <w:jc w:val="center"/>
              <w:rPr>
                <w:rFonts w:ascii="宋体" w:hAnsi="宋体" w:cs="宋体"/>
                <w:sz w:val="24"/>
              </w:rPr>
            </w:pPr>
            <w:r>
              <w:rPr>
                <w:rFonts w:hint="eastAsia" w:ascii="宋体" w:hAnsi="宋体" w:cs="宋体"/>
                <w:sz w:val="24"/>
              </w:rPr>
              <w:t>序号</w:t>
            </w:r>
          </w:p>
        </w:tc>
        <w:tc>
          <w:tcPr>
            <w:tcW w:w="7506" w:type="dxa"/>
            <w:vAlign w:val="center"/>
          </w:tcPr>
          <w:p>
            <w:pPr>
              <w:spacing w:line="360" w:lineRule="auto"/>
              <w:jc w:val="center"/>
              <w:rPr>
                <w:rFonts w:ascii="宋体" w:hAnsi="宋体" w:cs="宋体"/>
                <w:sz w:val="24"/>
              </w:rPr>
            </w:pPr>
            <w:r>
              <w:rPr>
                <w:rFonts w:hint="eastAsia" w:ascii="宋体" w:hAnsi="宋体" w:cs="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1.</w:t>
            </w:r>
          </w:p>
        </w:tc>
        <w:tc>
          <w:tcPr>
            <w:tcW w:w="7506" w:type="dxa"/>
            <w:vAlign w:val="center"/>
          </w:tcPr>
          <w:p>
            <w:pPr>
              <w:spacing w:line="360" w:lineRule="auto"/>
              <w:ind w:leftChars="-9" w:hanging="19" w:hangingChars="8"/>
              <w:rPr>
                <w:rFonts w:ascii="宋体" w:hAnsi="宋体" w:cs="宋体"/>
                <w:sz w:val="24"/>
              </w:rPr>
            </w:pPr>
            <w:r>
              <w:rPr>
                <w:rFonts w:hint="eastAsia" w:ascii="宋体" w:hAnsi="宋体" w:cs="宋体"/>
                <w:sz w:val="24"/>
              </w:rPr>
              <w:t>采购项目名称：陕西师范大学附属中学电动车充电桩安装及维保服务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2.</w:t>
            </w:r>
          </w:p>
        </w:tc>
        <w:tc>
          <w:tcPr>
            <w:tcW w:w="7506" w:type="dxa"/>
            <w:vAlign w:val="center"/>
          </w:tcPr>
          <w:p>
            <w:pPr>
              <w:spacing w:line="360" w:lineRule="auto"/>
              <w:ind w:left="960" w:hanging="960" w:hangingChars="400"/>
              <w:rPr>
                <w:rFonts w:ascii="宋体" w:hAnsi="宋体" w:cs="宋体"/>
                <w:sz w:val="24"/>
              </w:rPr>
            </w:pPr>
            <w:r>
              <w:rPr>
                <w:rFonts w:hint="eastAsia" w:ascii="宋体" w:hAnsi="宋体" w:cs="宋体"/>
                <w:sz w:val="24"/>
              </w:rPr>
              <w:t>采购项目编号：SDFZHT2023040055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3.</w:t>
            </w:r>
          </w:p>
        </w:tc>
        <w:tc>
          <w:tcPr>
            <w:tcW w:w="7506" w:type="dxa"/>
            <w:vAlign w:val="center"/>
          </w:tcPr>
          <w:p>
            <w:pPr>
              <w:spacing w:line="360" w:lineRule="auto"/>
              <w:rPr>
                <w:rFonts w:ascii="宋体" w:hAnsi="宋体" w:cs="宋体"/>
                <w:sz w:val="24"/>
              </w:rPr>
            </w:pPr>
            <w:r>
              <w:rPr>
                <w:rFonts w:hint="eastAsia" w:ascii="宋体" w:hAnsi="宋体" w:cs="宋体"/>
                <w:sz w:val="24"/>
              </w:rPr>
              <w:t>资金来源：自有资金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rPr>
                <w:rFonts w:ascii="宋体" w:hAnsi="宋体" w:cs="宋体"/>
                <w:sz w:val="24"/>
                <w:szCs w:val="24"/>
              </w:rPr>
            </w:pPr>
            <w:r>
              <w:rPr>
                <w:rFonts w:hint="eastAsia" w:ascii="宋体" w:hAnsi="宋体" w:cs="宋体"/>
                <w:sz w:val="24"/>
                <w:szCs w:val="24"/>
              </w:rPr>
              <w:t>4.</w:t>
            </w:r>
          </w:p>
        </w:tc>
        <w:tc>
          <w:tcPr>
            <w:tcW w:w="7506" w:type="dxa"/>
            <w:vAlign w:val="center"/>
          </w:tcPr>
          <w:p>
            <w:pPr>
              <w:spacing w:line="360" w:lineRule="auto"/>
              <w:ind w:left="960" w:hanging="960" w:hangingChars="400"/>
              <w:rPr>
                <w:rFonts w:ascii="宋体" w:hAnsi="宋体" w:cs="宋体"/>
                <w:sz w:val="24"/>
              </w:rPr>
            </w:pPr>
            <w:r>
              <w:rPr>
                <w:rFonts w:hint="eastAsia" w:ascii="宋体" w:hAnsi="宋体" w:cs="宋体"/>
                <w:sz w:val="24"/>
              </w:rPr>
              <w:t>采购人：陕西师范大学附属中学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7" w:type="dxa"/>
            <w:vAlign w:val="center"/>
          </w:tcPr>
          <w:p>
            <w:pPr>
              <w:spacing w:line="360" w:lineRule="auto"/>
              <w:ind w:right="240"/>
              <w:rPr>
                <w:rFonts w:ascii="宋体" w:hAnsi="宋体" w:cs="宋体"/>
                <w:sz w:val="24"/>
              </w:rPr>
            </w:pPr>
            <w:r>
              <w:rPr>
                <w:rFonts w:hint="eastAsia" w:ascii="宋体" w:hAnsi="宋体" w:cs="宋体"/>
                <w:sz w:val="24"/>
              </w:rPr>
              <w:t>5.</w:t>
            </w:r>
          </w:p>
        </w:tc>
        <w:tc>
          <w:tcPr>
            <w:tcW w:w="7506" w:type="dxa"/>
            <w:vAlign w:val="center"/>
          </w:tcPr>
          <w:p>
            <w:pPr>
              <w:spacing w:line="360" w:lineRule="auto"/>
              <w:rPr>
                <w:rFonts w:ascii="宋体" w:hAnsi="宋体" w:cs="宋体"/>
                <w:sz w:val="24"/>
              </w:rPr>
            </w:pPr>
            <w:r>
              <w:rPr>
                <w:rFonts w:hint="eastAsia" w:ascii="宋体" w:hAnsi="宋体" w:cs="宋体"/>
                <w:sz w:val="24"/>
              </w:rPr>
              <w:t>本次采购标的名称、数量具体情况详见磋商文件第六部分采购内容。本次采购、磋商报价、评审和合同授予均以项目为单位，供应商必须就完整项目进行响应。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6.</w:t>
            </w:r>
          </w:p>
        </w:tc>
        <w:tc>
          <w:tcPr>
            <w:tcW w:w="7506" w:type="dxa"/>
            <w:vAlign w:val="center"/>
          </w:tcPr>
          <w:p>
            <w:pPr>
              <w:spacing w:line="360" w:lineRule="auto"/>
              <w:rPr>
                <w:rFonts w:ascii="宋体" w:hAnsi="宋体" w:cs="宋体"/>
                <w:sz w:val="24"/>
              </w:rPr>
            </w:pPr>
            <w:r>
              <w:rPr>
                <w:rFonts w:hint="eastAsia" w:ascii="宋体" w:hAnsi="宋体" w:cs="宋体"/>
                <w:sz w:val="24"/>
              </w:rPr>
              <w:t>服务地点：陕西师范大学附属中学。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7.</w:t>
            </w:r>
          </w:p>
        </w:tc>
        <w:tc>
          <w:tcPr>
            <w:tcW w:w="7506" w:type="dxa"/>
            <w:vAlign w:val="center"/>
          </w:tcPr>
          <w:p>
            <w:pPr>
              <w:spacing w:line="360" w:lineRule="auto"/>
              <w:rPr>
                <w:rFonts w:ascii="宋体" w:hAnsi="宋体" w:cs="宋体"/>
                <w:sz w:val="24"/>
              </w:rPr>
            </w:pPr>
            <w:r>
              <w:rPr>
                <w:rFonts w:hint="eastAsia" w:ascii="宋体" w:hAnsi="宋体" w:cs="宋体"/>
                <w:sz w:val="24"/>
              </w:rPr>
              <w:t>合同签订：成交供应商与采购人单独协商签订合同。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8.</w:t>
            </w:r>
          </w:p>
        </w:tc>
        <w:tc>
          <w:tcPr>
            <w:tcW w:w="7506" w:type="dxa"/>
            <w:vAlign w:val="center"/>
          </w:tcPr>
          <w:p>
            <w:pPr>
              <w:spacing w:line="360" w:lineRule="auto"/>
              <w:rPr>
                <w:rFonts w:ascii="宋体" w:hAnsi="宋体" w:cs="宋体"/>
                <w:sz w:val="24"/>
              </w:rPr>
            </w:pPr>
            <w:r>
              <w:rPr>
                <w:rFonts w:hint="eastAsia" w:ascii="宋体" w:hAnsi="宋体" w:cs="宋体"/>
                <w:sz w:val="24"/>
              </w:rPr>
              <w:t>磋商有效期：响应文件从提交之日起，有效期为90天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9.</w:t>
            </w:r>
          </w:p>
        </w:tc>
        <w:tc>
          <w:tcPr>
            <w:tcW w:w="7506" w:type="dxa"/>
            <w:vAlign w:val="center"/>
          </w:tcPr>
          <w:p>
            <w:pPr>
              <w:spacing w:line="360" w:lineRule="auto"/>
              <w:rPr>
                <w:rFonts w:ascii="宋体" w:hAnsi="宋体" w:cs="宋体"/>
                <w:sz w:val="24"/>
              </w:rPr>
            </w:pPr>
            <w:r>
              <w:rPr>
                <w:rFonts w:hint="eastAsia" w:ascii="宋体" w:hAnsi="宋体" w:cs="宋体"/>
                <w:sz w:val="24"/>
              </w:rPr>
              <w:t>服务标准要求：达到国家相关规范、标准及用户要求。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10.</w:t>
            </w:r>
          </w:p>
        </w:tc>
        <w:tc>
          <w:tcPr>
            <w:tcW w:w="7506" w:type="dxa"/>
            <w:vAlign w:val="center"/>
          </w:tcPr>
          <w:p>
            <w:pPr>
              <w:spacing w:line="360" w:lineRule="auto"/>
              <w:rPr>
                <w:rFonts w:ascii="宋体" w:hAnsi="宋体" w:cs="宋体"/>
                <w:sz w:val="24"/>
              </w:rPr>
            </w:pPr>
            <w:r>
              <w:rPr>
                <w:rFonts w:hint="eastAsia" w:ascii="宋体" w:hAnsi="宋体" w:cs="宋体"/>
                <w:sz w:val="24"/>
              </w:rPr>
              <w:t>供应商应提交：一套正本“响应文件”、</w:t>
            </w:r>
            <w:r>
              <w:rPr>
                <w:rFonts w:hint="eastAsia" w:ascii="宋体" w:hAnsi="宋体" w:cs="宋体"/>
                <w:sz w:val="24"/>
                <w:lang w:val="en-US" w:eastAsia="zh-CN"/>
              </w:rPr>
              <w:t>二</w:t>
            </w:r>
            <w:r>
              <w:rPr>
                <w:rFonts w:hint="eastAsia" w:ascii="宋体" w:hAnsi="宋体" w:cs="宋体"/>
                <w:sz w:val="24"/>
              </w:rPr>
              <w:t>套副本“响应文件”（响应文件不退还）</w:t>
            </w:r>
          </w:p>
          <w:p>
            <w:pPr>
              <w:spacing w:line="360" w:lineRule="auto"/>
              <w:rPr>
                <w:rFonts w:ascii="宋体" w:hAnsi="宋体" w:cs="宋体"/>
                <w:sz w:val="24"/>
              </w:rPr>
            </w:pPr>
            <w:r>
              <w:rPr>
                <w:rFonts w:hint="eastAsia" w:ascii="宋体" w:hAnsi="宋体" w:cs="宋体"/>
                <w:sz w:val="24"/>
              </w:rPr>
              <w:t>所有密封袋/箱正面和响应文件封面须标明采购项目名称、采购项目编号、供应商名称及“正本”、“副本”字样。</w:t>
            </w:r>
          </w:p>
          <w:p>
            <w:pPr>
              <w:spacing w:line="360" w:lineRule="auto"/>
              <w:rPr>
                <w:rFonts w:ascii="宋体" w:hAnsi="宋体" w:cs="宋体"/>
                <w:sz w:val="24"/>
              </w:rPr>
            </w:pPr>
            <w:r>
              <w:rPr>
                <w:rFonts w:hint="eastAsia" w:ascii="宋体" w:hAnsi="宋体" w:cs="宋体"/>
                <w:sz w:val="24"/>
              </w:rPr>
              <w:t>供应商应在响应文件密封文件袋正面及背面加盖公章，以保证文件密封性完整。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11.</w:t>
            </w:r>
          </w:p>
        </w:tc>
        <w:tc>
          <w:tcPr>
            <w:tcW w:w="7506" w:type="dxa"/>
            <w:vAlign w:val="center"/>
          </w:tcPr>
          <w:p>
            <w:pPr>
              <w:autoSpaceDE w:val="0"/>
              <w:autoSpaceDN w:val="0"/>
              <w:adjustRightInd w:val="0"/>
              <w:spacing w:line="360" w:lineRule="auto"/>
              <w:rPr>
                <w:rFonts w:ascii="宋体" w:hAnsi="宋体" w:cs="宋体"/>
                <w:sz w:val="24"/>
              </w:rPr>
            </w:pPr>
            <w:r>
              <w:rPr>
                <w:rFonts w:hint="eastAsia" w:ascii="宋体" w:hAnsi="宋体" w:cs="宋体"/>
                <w:sz w:val="24"/>
              </w:rPr>
              <w:t>装订要求：响应文件制作规范、目录清晰、对应精准、页码标注、双面打印。响应文件应胶装成册。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7" w:type="dxa"/>
            <w:vAlign w:val="center"/>
          </w:tcPr>
          <w:p>
            <w:pPr>
              <w:spacing w:line="360" w:lineRule="auto"/>
              <w:ind w:right="480"/>
              <w:rPr>
                <w:rFonts w:ascii="宋体" w:hAnsi="宋体" w:cs="宋体"/>
                <w:sz w:val="24"/>
              </w:rPr>
            </w:pPr>
            <w:r>
              <w:rPr>
                <w:rFonts w:hint="eastAsia" w:ascii="宋体" w:hAnsi="宋体" w:cs="宋体"/>
                <w:sz w:val="24"/>
              </w:rPr>
              <w:t>12.</w:t>
            </w:r>
          </w:p>
        </w:tc>
        <w:tc>
          <w:tcPr>
            <w:tcW w:w="7506" w:type="dxa"/>
            <w:vAlign w:val="center"/>
          </w:tcPr>
          <w:p>
            <w:pPr>
              <w:spacing w:line="360" w:lineRule="auto"/>
              <w:rPr>
                <w:rFonts w:ascii="宋体" w:hAnsi="宋体" w:cs="宋体"/>
                <w:sz w:val="24"/>
              </w:rPr>
            </w:pPr>
            <w:r>
              <w:rPr>
                <w:rFonts w:hint="eastAsia" w:ascii="宋体" w:hAnsi="宋体" w:cs="宋体"/>
                <w:sz w:val="24"/>
              </w:rPr>
              <w:t>知识产权：供应商应保证，在中华人民共和国境内使用的产品成果、服务或其任何一部分时，不会产生因第三方提出侵犯其专利权或其他知识产权而引起的法律和经济纠纷。如供应商不拥有相应的知识产权，则在报价中须包括合法获取该知识产权的相关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7" w:type="dxa"/>
            <w:vAlign w:val="center"/>
          </w:tcPr>
          <w:p>
            <w:pPr>
              <w:spacing w:line="360" w:lineRule="auto"/>
              <w:ind w:right="480"/>
              <w:rPr>
                <w:rFonts w:ascii="宋体" w:hAnsi="宋体" w:cs="宋体"/>
                <w:sz w:val="24"/>
              </w:rPr>
            </w:pPr>
            <w:r>
              <w:rPr>
                <w:rFonts w:hint="eastAsia" w:ascii="宋体" w:hAnsi="宋体" w:cs="宋体"/>
                <w:sz w:val="24"/>
              </w:rPr>
              <w:t>1</w:t>
            </w:r>
            <w:r>
              <w:rPr>
                <w:rFonts w:ascii="宋体" w:hAnsi="宋体" w:cs="宋体"/>
                <w:sz w:val="24"/>
              </w:rPr>
              <w:t>3</w:t>
            </w:r>
            <w:r>
              <w:rPr>
                <w:rFonts w:hint="eastAsia" w:ascii="宋体" w:hAnsi="宋体" w:cs="宋体"/>
                <w:sz w:val="24"/>
              </w:rPr>
              <w:t>.</w:t>
            </w:r>
          </w:p>
        </w:tc>
        <w:tc>
          <w:tcPr>
            <w:tcW w:w="7506" w:type="dxa"/>
            <w:vAlign w:val="center"/>
          </w:tcPr>
          <w:p>
            <w:pPr>
              <w:autoSpaceDE w:val="0"/>
              <w:autoSpaceDN w:val="0"/>
              <w:adjustRightInd w:val="0"/>
              <w:spacing w:line="360" w:lineRule="auto"/>
              <w:rPr>
                <w:rFonts w:ascii="宋体" w:hAnsi="宋体" w:cs="宋体"/>
                <w:sz w:val="24"/>
              </w:rPr>
            </w:pPr>
            <w:r>
              <w:rPr>
                <w:rFonts w:hint="eastAsia" w:ascii="宋体" w:hAnsi="宋体" w:cs="宋体"/>
                <w:sz w:val="24"/>
              </w:rPr>
              <w:t>按照财库〔2016〕125号《关于在政府采购活动中查询及使用信用记录有关问题的通知》的规定，供应商信用信息查询具体规定如下：</w:t>
            </w:r>
          </w:p>
          <w:p>
            <w:pPr>
              <w:spacing w:line="360" w:lineRule="auto"/>
              <w:rPr>
                <w:rFonts w:ascii="宋体" w:hAnsi="宋体" w:cs="宋体"/>
                <w:sz w:val="24"/>
              </w:rPr>
            </w:pPr>
            <w:r>
              <w:rPr>
                <w:rFonts w:hint="eastAsia" w:ascii="宋体" w:hAnsi="宋体" w:cs="宋体"/>
                <w:sz w:val="24"/>
              </w:rPr>
              <w:t>采购人或采购代理机构在资格审查过程中对供应商通过“信用中国”网站(www.creditchina.gov.cn)、中国政府采购网(www.ccgp.gov.cn) 查询相关主体信用记录，并将查询结果和评标报告一并保存。如供应商出现“列入失信被执行人、重大税收违法案件当事人名单、政府采购严重违法失信行为记录名单及其他不符合《中华人民共和国政府采购法》第二十二条规定条件的”情况，将被拒绝参与政府采购活动</w:t>
            </w:r>
          </w:p>
        </w:tc>
      </w:tr>
    </w:tbl>
    <w:p>
      <w:pPr>
        <w:pStyle w:val="39"/>
        <w:spacing w:line="360" w:lineRule="auto"/>
        <w:ind w:firstLine="0"/>
        <w:rPr>
          <w:rFonts w:ascii="宋体" w:hAnsi="宋体" w:cs="宋体"/>
          <w:sz w:val="24"/>
        </w:rPr>
      </w:pPr>
    </w:p>
    <w:p>
      <w:pPr>
        <w:pStyle w:val="3"/>
        <w:spacing w:line="360" w:lineRule="auto"/>
        <w:outlineLvl w:val="9"/>
        <w:rPr>
          <w:rFonts w:ascii="宋体" w:hAnsi="宋体" w:cs="宋体"/>
          <w:sz w:val="36"/>
        </w:rPr>
        <w:sectPr>
          <w:footerReference r:id="rId6" w:type="default"/>
          <w:footnotePr>
            <w:pos w:val="beneathText"/>
          </w:footnotePr>
          <w:pgSz w:w="11906" w:h="16838"/>
          <w:pgMar w:top="1440" w:right="1423" w:bottom="1219" w:left="1644" w:header="851" w:footer="992" w:gutter="0"/>
          <w:pgNumType w:fmt="decimal" w:start="1"/>
          <w:cols w:space="720" w:num="1"/>
          <w:docGrid w:linePitch="312" w:charSpace="0"/>
        </w:sectPr>
      </w:pPr>
      <w:bookmarkStart w:id="27" w:name="_Toc246928894"/>
    </w:p>
    <w:bookmarkEnd w:id="27"/>
    <w:p>
      <w:pPr>
        <w:pStyle w:val="3"/>
        <w:spacing w:line="360" w:lineRule="auto"/>
        <w:jc w:val="center"/>
        <w:rPr>
          <w:rFonts w:ascii="宋体" w:hAnsi="宋体" w:cs="宋体"/>
          <w:sz w:val="36"/>
        </w:rPr>
      </w:pPr>
      <w:bookmarkStart w:id="28" w:name="_Hlt497548036"/>
      <w:bookmarkEnd w:id="28"/>
      <w:bookmarkStart w:id="29" w:name="_Toc14414"/>
      <w:bookmarkStart w:id="30" w:name="_Toc16899"/>
      <w:bookmarkStart w:id="31" w:name="_Toc3829"/>
      <w:bookmarkStart w:id="32" w:name="_Toc32446"/>
      <w:bookmarkStart w:id="33" w:name="_Toc6202"/>
      <w:bookmarkStart w:id="34" w:name="_Toc30664"/>
      <w:bookmarkStart w:id="35" w:name="_Toc14346"/>
      <w:bookmarkStart w:id="36" w:name="_Toc423508219"/>
      <w:bookmarkStart w:id="37" w:name="_Toc25954"/>
      <w:bookmarkStart w:id="38" w:name="_Toc497546918"/>
      <w:bookmarkStart w:id="39" w:name="_Toc497712133"/>
      <w:bookmarkStart w:id="40" w:name="_Toc246928930"/>
      <w:bookmarkStart w:id="41" w:name="_Toc93800308"/>
      <w:bookmarkStart w:id="42" w:name="_Toc497711585"/>
      <w:bookmarkStart w:id="43" w:name="_Toc497551820"/>
      <w:bookmarkStart w:id="44" w:name="_Toc492955459"/>
      <w:r>
        <w:rPr>
          <w:rFonts w:hint="eastAsia" w:ascii="宋体" w:hAnsi="宋体" w:cs="宋体"/>
          <w:sz w:val="36"/>
        </w:rPr>
        <w:t>第三部分  磋商须知</w:t>
      </w:r>
      <w:bookmarkEnd w:id="29"/>
      <w:bookmarkEnd w:id="30"/>
      <w:bookmarkEnd w:id="31"/>
      <w:bookmarkEnd w:id="32"/>
      <w:bookmarkEnd w:id="33"/>
      <w:bookmarkEnd w:id="34"/>
      <w:bookmarkEnd w:id="35"/>
      <w:bookmarkEnd w:id="36"/>
      <w:bookmarkEnd w:id="37"/>
    </w:p>
    <w:p>
      <w:pPr>
        <w:pStyle w:val="4"/>
        <w:spacing w:before="0" w:after="0" w:line="360" w:lineRule="auto"/>
        <w:jc w:val="center"/>
        <w:rPr>
          <w:rFonts w:ascii="宋体" w:hAnsi="宋体" w:eastAsia="宋体" w:cs="宋体"/>
          <w:b w:val="0"/>
          <w:sz w:val="36"/>
        </w:rPr>
      </w:pPr>
      <w:bookmarkStart w:id="45" w:name="_Toc4593"/>
      <w:bookmarkStart w:id="46" w:name="_Toc29967"/>
      <w:bookmarkStart w:id="47" w:name="_Toc12131"/>
      <w:bookmarkStart w:id="48" w:name="_Toc27487"/>
      <w:bookmarkStart w:id="49" w:name="_Toc10510"/>
      <w:bookmarkStart w:id="50" w:name="_Toc246928895"/>
      <w:bookmarkStart w:id="51" w:name="_Toc423508220"/>
      <w:bookmarkStart w:id="52" w:name="_Toc18532"/>
      <w:r>
        <w:rPr>
          <w:rFonts w:hint="eastAsia" w:ascii="宋体" w:hAnsi="宋体" w:eastAsia="宋体" w:cs="宋体"/>
          <w:b w:val="0"/>
          <w:sz w:val="36"/>
        </w:rPr>
        <w:t>A 总则</w:t>
      </w:r>
      <w:bookmarkEnd w:id="45"/>
      <w:bookmarkEnd w:id="46"/>
      <w:bookmarkEnd w:id="47"/>
      <w:bookmarkEnd w:id="48"/>
      <w:bookmarkEnd w:id="49"/>
      <w:bookmarkEnd w:id="50"/>
      <w:bookmarkEnd w:id="51"/>
      <w:bookmarkEnd w:id="52"/>
    </w:p>
    <w:p>
      <w:pPr>
        <w:pStyle w:val="2"/>
        <w:overflowPunct w:val="0"/>
        <w:adjustRightInd w:val="0"/>
        <w:snapToGrid w:val="0"/>
        <w:spacing w:before="0" w:after="0" w:line="360" w:lineRule="auto"/>
        <w:rPr>
          <w:rFonts w:ascii="宋体" w:hAnsi="宋体" w:cs="宋体"/>
          <w:sz w:val="24"/>
          <w:szCs w:val="24"/>
        </w:rPr>
      </w:pPr>
      <w:bookmarkStart w:id="53" w:name="_Toc11049"/>
      <w:bookmarkStart w:id="54" w:name="_Toc10631"/>
      <w:bookmarkStart w:id="55" w:name="_Toc7994"/>
      <w:bookmarkStart w:id="56" w:name="_Toc423508221"/>
      <w:bookmarkStart w:id="57" w:name="_Toc246928896"/>
      <w:bookmarkStart w:id="58" w:name="_Toc28375"/>
      <w:r>
        <w:rPr>
          <w:rFonts w:hint="eastAsia" w:ascii="宋体" w:hAnsi="宋体" w:cs="宋体"/>
          <w:sz w:val="24"/>
          <w:szCs w:val="24"/>
        </w:rPr>
        <w:t>1. 适用范围</w:t>
      </w:r>
      <w:bookmarkEnd w:id="53"/>
      <w:bookmarkEnd w:id="54"/>
      <w:bookmarkEnd w:id="55"/>
      <w:bookmarkEnd w:id="56"/>
      <w:bookmarkEnd w:id="57"/>
      <w:bookmarkEnd w:id="58"/>
    </w:p>
    <w:p>
      <w:pPr>
        <w:overflowPunct w:val="0"/>
        <w:adjustRightInd w:val="0"/>
        <w:snapToGrid w:val="0"/>
        <w:spacing w:line="360" w:lineRule="auto"/>
        <w:rPr>
          <w:rFonts w:ascii="宋体" w:hAnsi="宋体" w:cs="宋体"/>
          <w:sz w:val="24"/>
        </w:rPr>
      </w:pPr>
      <w:bookmarkStart w:id="59" w:name="_Toc246928897"/>
      <w:r>
        <w:rPr>
          <w:rFonts w:hint="eastAsia" w:ascii="宋体" w:hAnsi="宋体" w:cs="宋体"/>
          <w:sz w:val="24"/>
        </w:rPr>
        <w:t>1.1本磋商文件仅适用于本磋商公告中所叙述项目的</w:t>
      </w:r>
      <w:r>
        <w:rPr>
          <w:rFonts w:hint="eastAsia" w:ascii="宋体" w:hAnsi="宋体" w:cs="宋体"/>
          <w:sz w:val="24"/>
          <w:lang w:eastAsia="zh-CN"/>
        </w:rPr>
        <w:t>电动车充电桩安装及维保服务</w:t>
      </w:r>
      <w:r>
        <w:rPr>
          <w:rFonts w:hint="eastAsia" w:ascii="宋体" w:hAnsi="宋体" w:cs="宋体"/>
          <w:sz w:val="24"/>
        </w:rPr>
        <w:t>采购。</w:t>
      </w:r>
    </w:p>
    <w:p>
      <w:pPr>
        <w:overflowPunct w:val="0"/>
        <w:adjustRightInd w:val="0"/>
        <w:snapToGrid w:val="0"/>
        <w:spacing w:line="360" w:lineRule="auto"/>
        <w:rPr>
          <w:rFonts w:ascii="宋体" w:hAnsi="宋体" w:cs="宋体"/>
          <w:sz w:val="24"/>
        </w:rPr>
      </w:pPr>
      <w:r>
        <w:rPr>
          <w:rFonts w:hint="eastAsia" w:ascii="宋体" w:hAnsi="宋体" w:cs="宋体"/>
          <w:sz w:val="24"/>
        </w:rPr>
        <w:t>1.2本次采购属服务类政府采购，采购人、供应商、磋商小组的相关行为均受《中华人民共和国政府采购法》、《政府采购竞争性磋商采购方式管理暂行办法》、财政部规章及政府采购项目所在地有关法规、规章的约束，其权利受到上述法律法规的保护。</w:t>
      </w:r>
    </w:p>
    <w:p>
      <w:pPr>
        <w:overflowPunct w:val="0"/>
        <w:adjustRightInd w:val="0"/>
        <w:snapToGrid w:val="0"/>
        <w:spacing w:line="360" w:lineRule="auto"/>
        <w:rPr>
          <w:rFonts w:ascii="宋体" w:hAnsi="宋体" w:cs="宋体"/>
          <w:sz w:val="24"/>
        </w:rPr>
      </w:pPr>
      <w:r>
        <w:rPr>
          <w:rFonts w:hint="eastAsia" w:ascii="宋体" w:hAnsi="宋体" w:cs="宋体"/>
          <w:sz w:val="24"/>
        </w:rPr>
        <w:t>1.3 磋商文件解释权归采购人所有。</w:t>
      </w:r>
    </w:p>
    <w:p>
      <w:pPr>
        <w:pStyle w:val="2"/>
        <w:overflowPunct w:val="0"/>
        <w:adjustRightInd w:val="0"/>
        <w:snapToGrid w:val="0"/>
        <w:spacing w:before="0" w:after="0" w:line="360" w:lineRule="auto"/>
        <w:rPr>
          <w:rFonts w:ascii="宋体" w:hAnsi="宋体" w:cs="宋体"/>
          <w:sz w:val="24"/>
          <w:szCs w:val="24"/>
        </w:rPr>
      </w:pPr>
      <w:bookmarkStart w:id="60" w:name="_Toc5805"/>
      <w:bookmarkStart w:id="61" w:name="_Toc423508222"/>
      <w:bookmarkStart w:id="62" w:name="_Toc5589"/>
      <w:bookmarkStart w:id="63" w:name="_Toc28018"/>
      <w:bookmarkStart w:id="64" w:name="_Toc12606"/>
      <w:r>
        <w:rPr>
          <w:rFonts w:hint="eastAsia" w:ascii="宋体" w:hAnsi="宋体" w:cs="宋体"/>
          <w:sz w:val="24"/>
          <w:szCs w:val="24"/>
        </w:rPr>
        <w:t>2. 定义</w:t>
      </w:r>
      <w:bookmarkEnd w:id="59"/>
      <w:bookmarkEnd w:id="60"/>
      <w:bookmarkEnd w:id="61"/>
      <w:bookmarkEnd w:id="62"/>
      <w:bookmarkEnd w:id="63"/>
      <w:bookmarkEnd w:id="64"/>
      <w:r>
        <w:rPr>
          <w:rFonts w:hint="eastAsia" w:ascii="宋体" w:hAnsi="宋体" w:cs="宋体"/>
          <w:sz w:val="24"/>
          <w:szCs w:val="24"/>
        </w:rPr>
        <w:t xml:space="preserve"> </w:t>
      </w:r>
    </w:p>
    <w:p>
      <w:pPr>
        <w:spacing w:line="360" w:lineRule="auto"/>
        <w:rPr>
          <w:rFonts w:ascii="宋体" w:hAnsi="宋体" w:cs="宋体"/>
          <w:sz w:val="24"/>
        </w:rPr>
      </w:pPr>
      <w:r>
        <w:rPr>
          <w:rFonts w:hint="eastAsia" w:ascii="宋体" w:hAnsi="宋体" w:cs="宋体"/>
          <w:sz w:val="24"/>
        </w:rPr>
        <w:t>2.1 “采购人”系指陕西师范大学附属中学。</w:t>
      </w:r>
    </w:p>
    <w:p>
      <w:pPr>
        <w:spacing w:line="360" w:lineRule="auto"/>
        <w:rPr>
          <w:rFonts w:ascii="宋体" w:hAnsi="宋体" w:cs="宋体"/>
          <w:sz w:val="24"/>
        </w:rPr>
      </w:pPr>
      <w:r>
        <w:rPr>
          <w:rFonts w:hint="eastAsia" w:ascii="宋体" w:hAnsi="宋体" w:cs="宋体"/>
          <w:sz w:val="24"/>
        </w:rPr>
        <w:t>2.2 “供应商”系指响应采购人要求提交响应文件的供应商。</w:t>
      </w:r>
    </w:p>
    <w:p>
      <w:pPr>
        <w:spacing w:line="360" w:lineRule="auto"/>
        <w:rPr>
          <w:rFonts w:hint="eastAsia" w:ascii="宋体" w:hAnsi="宋体" w:cs="宋体"/>
          <w:sz w:val="24"/>
        </w:rPr>
      </w:pPr>
      <w:bookmarkStart w:id="65" w:name="_Toc423508223"/>
      <w:bookmarkStart w:id="66" w:name="_Toc246928898"/>
      <w:r>
        <w:rPr>
          <w:rFonts w:hint="eastAsia" w:ascii="宋体" w:hAnsi="宋体" w:cs="宋体"/>
          <w:sz w:val="24"/>
        </w:rPr>
        <w:t>2.3 “服务”系指磋商文件规定供应商须提供的电动车充电桩安装及维保服务</w:t>
      </w:r>
    </w:p>
    <w:p>
      <w:pPr>
        <w:spacing w:line="360" w:lineRule="auto"/>
        <w:rPr>
          <w:rFonts w:ascii="宋体" w:hAnsi="宋体" w:cs="宋体"/>
          <w:sz w:val="24"/>
        </w:rPr>
      </w:pPr>
      <w:r>
        <w:rPr>
          <w:rFonts w:hint="eastAsia" w:ascii="宋体" w:hAnsi="宋体" w:cs="宋体"/>
          <w:sz w:val="24"/>
        </w:rPr>
        <w:t>2.4 磋商文件组成部分的各章节中出现的措辞“委托人”、“发包人”、“甲方”和“供应商”、“承包人”、“乙方”，在招标投标阶段应当分别按“采购人”和“供应商”进行理解。</w:t>
      </w:r>
    </w:p>
    <w:p>
      <w:pPr>
        <w:pStyle w:val="2"/>
        <w:overflowPunct w:val="0"/>
        <w:adjustRightInd w:val="0"/>
        <w:snapToGrid w:val="0"/>
        <w:spacing w:before="0" w:after="0" w:line="360" w:lineRule="auto"/>
        <w:rPr>
          <w:rFonts w:ascii="宋体" w:hAnsi="宋体" w:cs="宋体"/>
          <w:sz w:val="24"/>
          <w:szCs w:val="24"/>
        </w:rPr>
      </w:pPr>
      <w:bookmarkStart w:id="67" w:name="_Toc7472"/>
      <w:bookmarkStart w:id="68" w:name="_Toc7215"/>
      <w:bookmarkStart w:id="69" w:name="_Toc31389"/>
      <w:bookmarkStart w:id="70" w:name="_Toc15173"/>
      <w:r>
        <w:rPr>
          <w:rFonts w:hint="eastAsia" w:ascii="宋体" w:hAnsi="宋体" w:cs="宋体"/>
          <w:sz w:val="24"/>
          <w:szCs w:val="24"/>
        </w:rPr>
        <w:t>3. 合格的供应商</w:t>
      </w:r>
      <w:bookmarkEnd w:id="65"/>
      <w:bookmarkEnd w:id="66"/>
      <w:bookmarkEnd w:id="67"/>
      <w:bookmarkEnd w:id="68"/>
      <w:bookmarkEnd w:id="69"/>
      <w:bookmarkEnd w:id="70"/>
    </w:p>
    <w:p>
      <w:pPr>
        <w:overflowPunct w:val="0"/>
        <w:adjustRightInd w:val="0"/>
        <w:snapToGrid w:val="0"/>
        <w:spacing w:line="360" w:lineRule="auto"/>
        <w:rPr>
          <w:rFonts w:ascii="宋体" w:hAnsi="宋体" w:cs="宋体"/>
          <w:sz w:val="24"/>
        </w:rPr>
      </w:pPr>
      <w:bookmarkStart w:id="71" w:name="_Toc246928899"/>
      <w:r>
        <w:rPr>
          <w:rFonts w:hint="eastAsia" w:ascii="宋体" w:hAnsi="宋体" w:cs="宋体"/>
          <w:sz w:val="24"/>
        </w:rPr>
        <w:t>3.1 凡符合供应商资格要求且有能力提供采购服务的供应商均可参加磋商采购活动。</w:t>
      </w:r>
    </w:p>
    <w:p>
      <w:pPr>
        <w:overflowPunct w:val="0"/>
        <w:adjustRightInd w:val="0"/>
        <w:snapToGrid w:val="0"/>
        <w:spacing w:line="360" w:lineRule="auto"/>
        <w:rPr>
          <w:rFonts w:ascii="宋体" w:hAnsi="宋体" w:cs="宋体"/>
          <w:sz w:val="24"/>
        </w:rPr>
      </w:pPr>
      <w:r>
        <w:rPr>
          <w:rFonts w:hint="eastAsia" w:ascii="宋体" w:hAnsi="宋体" w:cs="宋体"/>
          <w:sz w:val="24"/>
        </w:rPr>
        <w:t>3.2 供应商必须以磋商公告载明的方式购买磋商文件并登记备案，未经正规渠道获取磋商文件并登记备案的潜在供应商均无资格参加本次磋商采购活动。</w:t>
      </w:r>
    </w:p>
    <w:p>
      <w:pPr>
        <w:overflowPunct w:val="0"/>
        <w:adjustRightInd w:val="0"/>
        <w:snapToGrid w:val="0"/>
        <w:spacing w:line="360" w:lineRule="auto"/>
        <w:rPr>
          <w:rFonts w:ascii="宋体" w:hAnsi="宋体" w:cs="宋体"/>
          <w:sz w:val="24"/>
        </w:rPr>
      </w:pPr>
      <w:r>
        <w:rPr>
          <w:rFonts w:hint="eastAsia" w:ascii="宋体" w:hAnsi="宋体" w:cs="宋体"/>
          <w:sz w:val="24"/>
        </w:rPr>
        <w:t>3.3 供应商应遵守《中华人民共和国政府采购法》、《政府采购竞争性磋商采购方式管理暂行办法》及其它有关的中国法律和法规。</w:t>
      </w:r>
    </w:p>
    <w:p>
      <w:pPr>
        <w:overflowPunct w:val="0"/>
        <w:adjustRightInd w:val="0"/>
        <w:snapToGrid w:val="0"/>
        <w:spacing w:line="360" w:lineRule="auto"/>
        <w:rPr>
          <w:rFonts w:ascii="宋体" w:hAnsi="宋体" w:cs="宋体"/>
          <w:sz w:val="24"/>
        </w:rPr>
      </w:pPr>
      <w:r>
        <w:rPr>
          <w:rFonts w:hint="eastAsia" w:ascii="宋体" w:hAnsi="宋体" w:cs="宋体"/>
          <w:sz w:val="24"/>
        </w:rPr>
        <w:t>3.4 供应商之间如果存在下列情形之一的，不得同时参加本项目磋商：</w:t>
      </w:r>
    </w:p>
    <w:p>
      <w:pPr>
        <w:overflowPunct w:val="0"/>
        <w:adjustRightInd w:val="0"/>
        <w:snapToGrid w:val="0"/>
        <w:spacing w:line="360" w:lineRule="auto"/>
        <w:rPr>
          <w:rFonts w:ascii="宋体" w:hAnsi="宋体" w:cs="宋体"/>
          <w:sz w:val="24"/>
        </w:rPr>
      </w:pPr>
      <w:r>
        <w:rPr>
          <w:rFonts w:hint="eastAsia" w:ascii="宋体" w:hAnsi="宋体" w:cs="宋体"/>
          <w:sz w:val="24"/>
        </w:rPr>
        <w:t>3.4.1 法定代表人为同一个人的两个及两个以上法人公司；</w:t>
      </w:r>
    </w:p>
    <w:p>
      <w:pPr>
        <w:overflowPunct w:val="0"/>
        <w:adjustRightInd w:val="0"/>
        <w:snapToGrid w:val="0"/>
        <w:spacing w:line="360" w:lineRule="auto"/>
        <w:rPr>
          <w:rFonts w:ascii="宋体" w:hAnsi="宋体" w:cs="宋体"/>
          <w:sz w:val="24"/>
        </w:rPr>
      </w:pPr>
      <w:r>
        <w:rPr>
          <w:rFonts w:hint="eastAsia" w:ascii="宋体" w:hAnsi="宋体" w:cs="宋体"/>
          <w:sz w:val="24"/>
        </w:rPr>
        <w:t>3.4.2 母公司、全资子公司及其控股公司；</w:t>
      </w:r>
    </w:p>
    <w:p>
      <w:pPr>
        <w:overflowPunct w:val="0"/>
        <w:adjustRightInd w:val="0"/>
        <w:snapToGrid w:val="0"/>
        <w:spacing w:line="360" w:lineRule="auto"/>
        <w:rPr>
          <w:rFonts w:ascii="宋体" w:hAnsi="宋体" w:cs="宋体"/>
          <w:sz w:val="24"/>
        </w:rPr>
      </w:pPr>
      <w:r>
        <w:rPr>
          <w:rFonts w:hint="eastAsia" w:ascii="宋体" w:hAnsi="宋体" w:cs="宋体"/>
          <w:sz w:val="24"/>
        </w:rPr>
        <w:t>3.4.3 参加投标的其他组织之间存在特殊的利害关系的；</w:t>
      </w:r>
    </w:p>
    <w:p>
      <w:pPr>
        <w:overflowPunct w:val="0"/>
        <w:adjustRightInd w:val="0"/>
        <w:snapToGrid w:val="0"/>
        <w:spacing w:line="360" w:lineRule="auto"/>
        <w:rPr>
          <w:rFonts w:ascii="宋体" w:hAnsi="宋体" w:cs="宋体"/>
          <w:sz w:val="24"/>
        </w:rPr>
      </w:pPr>
      <w:r>
        <w:rPr>
          <w:rFonts w:hint="eastAsia" w:ascii="宋体" w:hAnsi="宋体" w:cs="宋体"/>
          <w:sz w:val="24"/>
        </w:rPr>
        <w:t>3.4.4 法律和行政法规规定的其他情形。</w:t>
      </w:r>
    </w:p>
    <w:p>
      <w:pPr>
        <w:overflowPunct w:val="0"/>
        <w:adjustRightInd w:val="0"/>
        <w:snapToGrid w:val="0"/>
        <w:spacing w:line="360" w:lineRule="auto"/>
        <w:rPr>
          <w:rFonts w:ascii="宋体" w:hAnsi="宋体" w:cs="宋体"/>
          <w:sz w:val="24"/>
        </w:rPr>
      </w:pPr>
      <w:r>
        <w:rPr>
          <w:rFonts w:hint="eastAsia" w:ascii="宋体" w:hAnsi="宋体" w:cs="宋体"/>
          <w:sz w:val="24"/>
        </w:rPr>
        <w:t>3.5分公司参与磋商时，须由总公司出具授权。总公司只能授权一家分公司参与磋商，且不能与分公司同时参与磋商。</w:t>
      </w:r>
    </w:p>
    <w:p>
      <w:pPr>
        <w:overflowPunct w:val="0"/>
        <w:adjustRightInd w:val="0"/>
        <w:snapToGrid w:val="0"/>
        <w:spacing w:line="360" w:lineRule="auto"/>
        <w:rPr>
          <w:rFonts w:ascii="宋体" w:hAnsi="宋体" w:cs="宋体"/>
          <w:sz w:val="24"/>
        </w:rPr>
      </w:pPr>
      <w:r>
        <w:rPr>
          <w:rFonts w:hint="eastAsia" w:ascii="宋体" w:hAnsi="宋体" w:cs="宋体"/>
          <w:sz w:val="24"/>
        </w:rPr>
        <w:t>3.6为采购项目提供整体设计、规范编制或者项目管理、监理、检测等服务的供应商，不得再参加同一项目的其他采购活动。</w:t>
      </w:r>
      <w:bookmarkEnd w:id="71"/>
      <w:bookmarkStart w:id="72" w:name="_Toc423508225"/>
      <w:bookmarkStart w:id="73" w:name="_Toc21972"/>
      <w:bookmarkStart w:id="74" w:name="_Toc311415575"/>
      <w:bookmarkStart w:id="75" w:name="_Toc17275"/>
      <w:bookmarkStart w:id="76" w:name="_Toc12521"/>
      <w:bookmarkStart w:id="77" w:name="_Toc246928900"/>
    </w:p>
    <w:p>
      <w:pPr>
        <w:pStyle w:val="2"/>
        <w:overflowPunct w:val="0"/>
        <w:adjustRightInd w:val="0"/>
        <w:snapToGrid w:val="0"/>
        <w:spacing w:before="0" w:after="0" w:line="360" w:lineRule="auto"/>
        <w:rPr>
          <w:rFonts w:ascii="宋体" w:hAnsi="宋体" w:cs="宋体"/>
          <w:sz w:val="24"/>
          <w:szCs w:val="24"/>
        </w:rPr>
      </w:pPr>
      <w:bookmarkStart w:id="78" w:name="_Toc4620"/>
      <w:r>
        <w:rPr>
          <w:rFonts w:hint="eastAsia" w:ascii="宋体" w:hAnsi="宋体" w:cs="宋体"/>
          <w:sz w:val="24"/>
          <w:szCs w:val="24"/>
        </w:rPr>
        <w:t>4. 费用</w:t>
      </w:r>
      <w:bookmarkEnd w:id="72"/>
      <w:bookmarkEnd w:id="73"/>
      <w:bookmarkEnd w:id="74"/>
      <w:bookmarkEnd w:id="75"/>
      <w:bookmarkEnd w:id="76"/>
      <w:bookmarkEnd w:id="78"/>
    </w:p>
    <w:p>
      <w:pPr>
        <w:overflowPunct w:val="0"/>
        <w:adjustRightInd w:val="0"/>
        <w:snapToGrid w:val="0"/>
        <w:spacing w:line="360" w:lineRule="auto"/>
        <w:rPr>
          <w:rFonts w:ascii="宋体" w:hAnsi="宋体" w:cs="宋体"/>
          <w:sz w:val="24"/>
        </w:rPr>
      </w:pPr>
      <w:r>
        <w:rPr>
          <w:rFonts w:hint="eastAsia" w:ascii="宋体" w:hAnsi="宋体" w:cs="宋体"/>
          <w:sz w:val="24"/>
        </w:rPr>
        <w:t>4.1 供应商应承担所有与编写和提交响应文件有关的费用，无论磋商过程中的做法和结果如何，采购人在任何情况下均无义务和责任承担这些费用。</w:t>
      </w:r>
    </w:p>
    <w:p>
      <w:pPr>
        <w:pStyle w:val="4"/>
        <w:spacing w:line="360" w:lineRule="auto"/>
        <w:jc w:val="center"/>
        <w:rPr>
          <w:rFonts w:ascii="宋体" w:hAnsi="宋体" w:eastAsia="宋体" w:cs="宋体"/>
          <w:b w:val="0"/>
          <w:sz w:val="44"/>
        </w:rPr>
      </w:pPr>
      <w:bookmarkStart w:id="79" w:name="_Toc423508226"/>
      <w:bookmarkStart w:id="80" w:name="_Toc2286"/>
      <w:bookmarkStart w:id="81" w:name="_Toc10116"/>
      <w:bookmarkStart w:id="82" w:name="_Toc19113"/>
      <w:bookmarkStart w:id="83" w:name="_Toc4628"/>
      <w:bookmarkStart w:id="84" w:name="_Toc22452"/>
      <w:bookmarkStart w:id="85" w:name="_Toc16825"/>
      <w:r>
        <w:rPr>
          <w:rFonts w:hint="eastAsia" w:ascii="宋体" w:hAnsi="宋体" w:eastAsia="宋体" w:cs="宋体"/>
          <w:b w:val="0"/>
          <w:sz w:val="44"/>
        </w:rPr>
        <w:t>B 磋商文件说明</w:t>
      </w:r>
      <w:bookmarkEnd w:id="77"/>
      <w:bookmarkEnd w:id="79"/>
      <w:bookmarkEnd w:id="80"/>
      <w:bookmarkEnd w:id="81"/>
      <w:bookmarkEnd w:id="82"/>
      <w:bookmarkEnd w:id="83"/>
      <w:bookmarkEnd w:id="84"/>
      <w:bookmarkEnd w:id="85"/>
    </w:p>
    <w:p>
      <w:pPr>
        <w:pStyle w:val="2"/>
        <w:overflowPunct w:val="0"/>
        <w:adjustRightInd w:val="0"/>
        <w:snapToGrid w:val="0"/>
        <w:spacing w:before="0" w:after="0" w:line="360" w:lineRule="auto"/>
        <w:rPr>
          <w:rFonts w:ascii="宋体" w:hAnsi="宋体" w:cs="宋体"/>
          <w:sz w:val="24"/>
          <w:szCs w:val="24"/>
        </w:rPr>
      </w:pPr>
      <w:bookmarkStart w:id="86" w:name="_Toc423508227"/>
      <w:bookmarkStart w:id="87" w:name="_Toc23225"/>
      <w:bookmarkStart w:id="88" w:name="_Toc146"/>
      <w:bookmarkStart w:id="89" w:name="_Toc7190"/>
      <w:bookmarkStart w:id="90" w:name="_Toc246928901"/>
      <w:bookmarkStart w:id="91" w:name="_Toc22841"/>
      <w:r>
        <w:rPr>
          <w:rFonts w:hint="eastAsia" w:ascii="宋体" w:hAnsi="宋体" w:cs="宋体"/>
          <w:sz w:val="24"/>
          <w:szCs w:val="24"/>
        </w:rPr>
        <w:t>5．磋商文件的构成</w:t>
      </w:r>
      <w:bookmarkEnd w:id="86"/>
      <w:bookmarkEnd w:id="87"/>
      <w:bookmarkEnd w:id="88"/>
      <w:bookmarkEnd w:id="89"/>
      <w:bookmarkEnd w:id="90"/>
      <w:bookmarkEnd w:id="91"/>
    </w:p>
    <w:p>
      <w:pPr>
        <w:spacing w:line="360" w:lineRule="auto"/>
        <w:rPr>
          <w:rFonts w:ascii="宋体" w:hAnsi="宋体" w:cs="宋体"/>
          <w:sz w:val="24"/>
        </w:rPr>
      </w:pPr>
      <w:r>
        <w:rPr>
          <w:rFonts w:hint="eastAsia" w:ascii="宋体" w:hAnsi="宋体" w:cs="宋体"/>
          <w:sz w:val="24"/>
        </w:rPr>
        <w:t>5.1 磋商文件用以阐明所需提供的服务、采购、磋商程序和合同条件。磋商文件包括：</w:t>
      </w:r>
    </w:p>
    <w:p>
      <w:pPr>
        <w:spacing w:line="360" w:lineRule="auto"/>
        <w:rPr>
          <w:rFonts w:ascii="宋体" w:hAnsi="宋体" w:cs="宋体"/>
          <w:sz w:val="24"/>
        </w:rPr>
      </w:pPr>
      <w:r>
        <w:rPr>
          <w:rFonts w:hint="eastAsia" w:ascii="宋体" w:hAnsi="宋体" w:cs="宋体"/>
          <w:sz w:val="24"/>
        </w:rPr>
        <w:t>5.1.1 竞争性磋商公告；</w:t>
      </w:r>
    </w:p>
    <w:p>
      <w:pPr>
        <w:spacing w:line="360" w:lineRule="auto"/>
        <w:rPr>
          <w:rFonts w:ascii="宋体" w:hAnsi="宋体" w:cs="宋体"/>
          <w:sz w:val="24"/>
        </w:rPr>
      </w:pPr>
      <w:r>
        <w:rPr>
          <w:rFonts w:hint="eastAsia" w:ascii="宋体" w:hAnsi="宋体" w:cs="宋体"/>
          <w:sz w:val="24"/>
        </w:rPr>
        <w:t>5.1.2 供应商须知前附表；</w:t>
      </w:r>
    </w:p>
    <w:p>
      <w:pPr>
        <w:spacing w:line="360" w:lineRule="auto"/>
        <w:rPr>
          <w:rFonts w:ascii="宋体" w:hAnsi="宋体" w:cs="宋体"/>
          <w:sz w:val="24"/>
        </w:rPr>
      </w:pPr>
      <w:r>
        <w:rPr>
          <w:rFonts w:hint="eastAsia" w:ascii="宋体" w:hAnsi="宋体" w:cs="宋体"/>
          <w:sz w:val="24"/>
        </w:rPr>
        <w:t>5.1.3 磋商须知；</w:t>
      </w:r>
    </w:p>
    <w:p>
      <w:pPr>
        <w:tabs>
          <w:tab w:val="left" w:pos="2415"/>
        </w:tabs>
        <w:spacing w:line="360" w:lineRule="auto"/>
        <w:rPr>
          <w:rFonts w:ascii="宋体" w:hAnsi="宋体" w:cs="宋体"/>
          <w:sz w:val="24"/>
        </w:rPr>
      </w:pPr>
      <w:r>
        <w:rPr>
          <w:rFonts w:hint="eastAsia" w:ascii="宋体" w:hAnsi="宋体" w:cs="宋体"/>
          <w:sz w:val="24"/>
        </w:rPr>
        <w:t>5.1.4 合同格式；</w:t>
      </w:r>
      <w:r>
        <w:rPr>
          <w:rFonts w:hint="eastAsia" w:ascii="宋体" w:hAnsi="宋体" w:cs="宋体"/>
          <w:sz w:val="24"/>
        </w:rPr>
        <w:tab/>
      </w:r>
    </w:p>
    <w:p>
      <w:pPr>
        <w:spacing w:line="360" w:lineRule="auto"/>
        <w:rPr>
          <w:rFonts w:ascii="宋体" w:hAnsi="宋体" w:cs="宋体"/>
          <w:sz w:val="24"/>
        </w:rPr>
      </w:pPr>
      <w:r>
        <w:rPr>
          <w:rFonts w:hint="eastAsia" w:ascii="宋体" w:hAnsi="宋体" w:cs="宋体"/>
          <w:sz w:val="24"/>
        </w:rPr>
        <w:t>5.1.5 附件—磋商响应文件格式；</w:t>
      </w:r>
    </w:p>
    <w:p>
      <w:pPr>
        <w:spacing w:line="360" w:lineRule="auto"/>
        <w:rPr>
          <w:rFonts w:ascii="宋体" w:hAnsi="宋体" w:cs="宋体"/>
          <w:sz w:val="24"/>
        </w:rPr>
      </w:pPr>
      <w:r>
        <w:rPr>
          <w:rFonts w:hint="eastAsia" w:ascii="宋体" w:hAnsi="宋体" w:cs="宋体"/>
          <w:sz w:val="24"/>
        </w:rPr>
        <w:t>5.1.6 采购内容及要求。</w:t>
      </w:r>
    </w:p>
    <w:p>
      <w:pPr>
        <w:spacing w:line="360" w:lineRule="auto"/>
        <w:rPr>
          <w:rFonts w:ascii="宋体" w:hAnsi="宋体" w:cs="宋体"/>
          <w:sz w:val="24"/>
        </w:rPr>
      </w:pPr>
      <w:r>
        <w:rPr>
          <w:rFonts w:hint="eastAsia" w:ascii="宋体" w:hAnsi="宋体" w:cs="宋体"/>
          <w:sz w:val="24"/>
        </w:rPr>
        <w:t>5.2供应商应认真阅读磋商文件中所有的事项、格式条款和规范要求等。供应商没有对磋商文件全面做出实质性响应是供应商的风险。</w:t>
      </w:r>
      <w:bookmarkStart w:id="92" w:name="_Toc246928902"/>
    </w:p>
    <w:p>
      <w:pPr>
        <w:pStyle w:val="2"/>
        <w:overflowPunct w:val="0"/>
        <w:adjustRightInd w:val="0"/>
        <w:snapToGrid w:val="0"/>
        <w:spacing w:before="0" w:after="0" w:line="360" w:lineRule="auto"/>
        <w:rPr>
          <w:rFonts w:ascii="宋体" w:hAnsi="宋体" w:cs="宋体"/>
          <w:sz w:val="24"/>
          <w:szCs w:val="24"/>
        </w:rPr>
      </w:pPr>
      <w:bookmarkStart w:id="93" w:name="_Toc423508228"/>
      <w:bookmarkStart w:id="94" w:name="_Toc18575"/>
      <w:bookmarkStart w:id="95" w:name="_Toc14504"/>
      <w:bookmarkStart w:id="96" w:name="_Toc23085"/>
      <w:bookmarkStart w:id="97" w:name="_Toc31321"/>
      <w:r>
        <w:rPr>
          <w:rFonts w:hint="eastAsia" w:ascii="宋体" w:hAnsi="宋体" w:cs="宋体"/>
          <w:sz w:val="24"/>
          <w:szCs w:val="24"/>
        </w:rPr>
        <w:t>6．磋商文件的澄清</w:t>
      </w:r>
      <w:bookmarkEnd w:id="92"/>
      <w:bookmarkEnd w:id="93"/>
      <w:bookmarkEnd w:id="94"/>
      <w:bookmarkEnd w:id="95"/>
      <w:bookmarkEnd w:id="96"/>
      <w:bookmarkEnd w:id="97"/>
    </w:p>
    <w:p>
      <w:pPr>
        <w:overflowPunct w:val="0"/>
        <w:adjustRightInd w:val="0"/>
        <w:snapToGrid w:val="0"/>
        <w:spacing w:line="360" w:lineRule="auto"/>
        <w:rPr>
          <w:rFonts w:ascii="宋体" w:hAnsi="宋体" w:cs="宋体"/>
          <w:sz w:val="24"/>
        </w:rPr>
      </w:pPr>
      <w:bookmarkStart w:id="98" w:name="_Toc246928903"/>
      <w:r>
        <w:rPr>
          <w:rFonts w:hint="eastAsia" w:ascii="宋体" w:hAnsi="宋体" w:cs="宋体"/>
          <w:sz w:val="24"/>
        </w:rPr>
        <w:t>6.1 任何要求对磋商文件澄清的供应商，应在购买磋商文件后以书面形式通知采购人。采购人将视情况确定采用适当方式予以澄清或以书面形式予以答复，涉及变更或修正内容在采购发布媒体上发布更正公告，并以书面形式通知所有磋商文件收受人，且作为磋商文件的组成部分。</w:t>
      </w:r>
    </w:p>
    <w:p>
      <w:pPr>
        <w:pStyle w:val="2"/>
        <w:overflowPunct w:val="0"/>
        <w:adjustRightInd w:val="0"/>
        <w:snapToGrid w:val="0"/>
        <w:spacing w:before="0" w:after="0" w:line="360" w:lineRule="auto"/>
        <w:rPr>
          <w:rFonts w:ascii="宋体" w:hAnsi="宋体" w:cs="宋体"/>
          <w:sz w:val="24"/>
          <w:szCs w:val="24"/>
        </w:rPr>
      </w:pPr>
      <w:bookmarkStart w:id="99" w:name="_Toc17707"/>
      <w:bookmarkStart w:id="100" w:name="_Toc6405"/>
      <w:bookmarkStart w:id="101" w:name="_Toc10225"/>
      <w:bookmarkStart w:id="102" w:name="_Toc423508229"/>
      <w:bookmarkStart w:id="103" w:name="_Toc23618"/>
      <w:r>
        <w:rPr>
          <w:rFonts w:hint="eastAsia" w:ascii="宋体" w:hAnsi="宋体" w:cs="宋体"/>
          <w:sz w:val="24"/>
          <w:szCs w:val="24"/>
        </w:rPr>
        <w:t>7．磋商文件的修改</w:t>
      </w:r>
      <w:bookmarkEnd w:id="98"/>
      <w:bookmarkEnd w:id="99"/>
      <w:bookmarkEnd w:id="100"/>
      <w:bookmarkEnd w:id="101"/>
      <w:bookmarkEnd w:id="102"/>
      <w:bookmarkEnd w:id="103"/>
    </w:p>
    <w:p>
      <w:pPr>
        <w:overflowPunct w:val="0"/>
        <w:adjustRightInd w:val="0"/>
        <w:snapToGrid w:val="0"/>
        <w:spacing w:line="360" w:lineRule="auto"/>
        <w:rPr>
          <w:rFonts w:ascii="宋体" w:hAnsi="宋体" w:cs="宋体"/>
          <w:sz w:val="24"/>
        </w:rPr>
      </w:pPr>
      <w:bookmarkStart w:id="104" w:name="_Toc409684168"/>
      <w:bookmarkStart w:id="105" w:name="_Toc332874421"/>
      <w:bookmarkStart w:id="106" w:name="_Toc283240488"/>
      <w:bookmarkStart w:id="107" w:name="_Toc283626504"/>
      <w:bookmarkStart w:id="108" w:name="_Toc311415580"/>
      <w:bookmarkStart w:id="109" w:name="_Toc423508230"/>
      <w:bookmarkStart w:id="110" w:name="_Toc246928929"/>
      <w:bookmarkStart w:id="111" w:name="_Toc385992368"/>
      <w:bookmarkStart w:id="112" w:name="_Toc389620207"/>
      <w:r>
        <w:rPr>
          <w:rFonts w:hint="eastAsia" w:ascii="宋体" w:hAnsi="宋体" w:cs="宋体"/>
          <w:sz w:val="24"/>
        </w:rPr>
        <w:t>7.1 在磋商文件要求提交响应文件截止时间前，无论出于何种原因，采购人可主动地或在解答供应商要求澄清的问题时对磋商文件进行修改。</w:t>
      </w:r>
    </w:p>
    <w:p>
      <w:pPr>
        <w:overflowPunct w:val="0"/>
        <w:adjustRightInd w:val="0"/>
        <w:snapToGrid w:val="0"/>
        <w:spacing w:line="360" w:lineRule="auto"/>
        <w:rPr>
          <w:rFonts w:ascii="宋体" w:hAnsi="宋体" w:cs="宋体"/>
          <w:sz w:val="24"/>
        </w:rPr>
      </w:pPr>
      <w:r>
        <w:rPr>
          <w:rFonts w:hint="eastAsia" w:ascii="宋体" w:hAnsi="宋体" w:cs="宋体"/>
          <w:sz w:val="24"/>
        </w:rPr>
        <w:t>7.2 磋商文件的修改将以书面形式通知所有磋商文件的收受人，供应商在收到该通知后应立即以传真的形式予以确认。</w:t>
      </w:r>
    </w:p>
    <w:p>
      <w:pPr>
        <w:overflowPunct w:val="0"/>
        <w:adjustRightInd w:val="0"/>
        <w:snapToGrid w:val="0"/>
        <w:spacing w:line="360" w:lineRule="auto"/>
        <w:rPr>
          <w:rFonts w:ascii="宋体" w:hAnsi="宋体" w:cs="宋体"/>
          <w:sz w:val="24"/>
        </w:rPr>
      </w:pPr>
      <w:r>
        <w:rPr>
          <w:rFonts w:hint="eastAsia" w:ascii="宋体" w:hAnsi="宋体" w:cs="宋体"/>
          <w:sz w:val="24"/>
        </w:rPr>
        <w:t>7.3 为使供应商在准备响应文件时，有充分的时间对磋商文件的修改进行研究考虑，采购人可自行决定，酌情推迟投标截止日期，并以书面形式通知所有已购买磋商文件的供应商。</w:t>
      </w:r>
    </w:p>
    <w:p>
      <w:pPr>
        <w:overflowPunct w:val="0"/>
        <w:adjustRightInd w:val="0"/>
        <w:snapToGrid w:val="0"/>
        <w:spacing w:line="360" w:lineRule="auto"/>
        <w:rPr>
          <w:rFonts w:ascii="宋体" w:hAnsi="宋体" w:cs="宋体"/>
          <w:sz w:val="24"/>
        </w:rPr>
      </w:pPr>
      <w:r>
        <w:rPr>
          <w:rFonts w:hint="eastAsia" w:ascii="宋体" w:hAnsi="宋体" w:cs="宋体"/>
          <w:sz w:val="24"/>
        </w:rPr>
        <w:t>7.4 磋商文件的修改书将构成磋商文件的一部分，对采购人和供应商都具有约束力。</w:t>
      </w:r>
    </w:p>
    <w:p>
      <w:pPr>
        <w:pStyle w:val="4"/>
        <w:spacing w:line="360" w:lineRule="auto"/>
        <w:jc w:val="center"/>
        <w:rPr>
          <w:rFonts w:ascii="宋体" w:hAnsi="宋体" w:eastAsia="宋体" w:cs="宋体"/>
          <w:b w:val="0"/>
          <w:sz w:val="44"/>
        </w:rPr>
      </w:pPr>
      <w:bookmarkStart w:id="113" w:name="_Toc21821"/>
      <w:bookmarkStart w:id="114" w:name="_Toc15361"/>
      <w:bookmarkStart w:id="115" w:name="_Toc21164"/>
      <w:bookmarkStart w:id="116" w:name="_Toc17998"/>
      <w:bookmarkStart w:id="117" w:name="_Toc28389"/>
      <w:bookmarkStart w:id="118" w:name="_Toc10065"/>
      <w:r>
        <w:rPr>
          <w:rFonts w:hint="eastAsia" w:ascii="宋体" w:hAnsi="宋体" w:eastAsia="宋体" w:cs="宋体"/>
          <w:b w:val="0"/>
          <w:sz w:val="44"/>
        </w:rPr>
        <w:t>C．响应文件的编写</w:t>
      </w:r>
      <w:bookmarkEnd w:id="104"/>
      <w:bookmarkEnd w:id="105"/>
      <w:bookmarkEnd w:id="106"/>
      <w:bookmarkEnd w:id="107"/>
      <w:bookmarkEnd w:id="108"/>
      <w:bookmarkEnd w:id="109"/>
      <w:bookmarkEnd w:id="113"/>
      <w:bookmarkEnd w:id="114"/>
      <w:bookmarkEnd w:id="115"/>
      <w:bookmarkEnd w:id="116"/>
      <w:bookmarkEnd w:id="117"/>
      <w:bookmarkEnd w:id="118"/>
    </w:p>
    <w:p>
      <w:pPr>
        <w:pStyle w:val="2"/>
        <w:overflowPunct w:val="0"/>
        <w:adjustRightInd w:val="0"/>
        <w:snapToGrid w:val="0"/>
        <w:spacing w:before="0" w:after="0" w:line="360" w:lineRule="auto"/>
        <w:rPr>
          <w:rFonts w:ascii="宋体" w:hAnsi="宋体" w:cs="宋体"/>
          <w:sz w:val="24"/>
          <w:szCs w:val="24"/>
        </w:rPr>
      </w:pPr>
      <w:bookmarkStart w:id="119" w:name="_Toc17036"/>
      <w:bookmarkStart w:id="120" w:name="_Toc423508231"/>
      <w:bookmarkStart w:id="121" w:name="_Toc4477"/>
      <w:bookmarkStart w:id="122" w:name="_Toc311415581"/>
      <w:bookmarkStart w:id="123" w:name="_Toc11523"/>
      <w:bookmarkStart w:id="124" w:name="_Toc20507"/>
      <w:r>
        <w:rPr>
          <w:rFonts w:hint="eastAsia" w:ascii="宋体" w:hAnsi="宋体" w:cs="宋体"/>
          <w:sz w:val="24"/>
          <w:szCs w:val="24"/>
        </w:rPr>
        <w:t>8．响应文件编制的原则</w:t>
      </w:r>
      <w:bookmarkEnd w:id="119"/>
      <w:bookmarkEnd w:id="120"/>
      <w:bookmarkEnd w:id="121"/>
      <w:bookmarkEnd w:id="122"/>
      <w:bookmarkEnd w:id="123"/>
      <w:bookmarkEnd w:id="124"/>
    </w:p>
    <w:p>
      <w:pPr>
        <w:overflowPunct w:val="0"/>
        <w:adjustRightInd w:val="0"/>
        <w:snapToGrid w:val="0"/>
        <w:spacing w:line="360" w:lineRule="auto"/>
        <w:rPr>
          <w:rFonts w:ascii="宋体" w:hAnsi="宋体" w:cs="宋体"/>
          <w:sz w:val="24"/>
        </w:rPr>
      </w:pPr>
      <w:bookmarkStart w:id="125" w:name="_Toc311415582"/>
      <w:r>
        <w:rPr>
          <w:rFonts w:hint="eastAsia" w:ascii="宋体" w:hAnsi="宋体" w:cs="宋体"/>
          <w:sz w:val="24"/>
        </w:rPr>
        <w:t>8.1 供应商应在认真阅读磋商文件所有内容的基础上，按照磋商文件的要求编制完整的响应文件。</w:t>
      </w:r>
    </w:p>
    <w:p>
      <w:pPr>
        <w:overflowPunct w:val="0"/>
        <w:adjustRightInd w:val="0"/>
        <w:snapToGrid w:val="0"/>
        <w:spacing w:line="360" w:lineRule="auto"/>
        <w:rPr>
          <w:rFonts w:ascii="宋体" w:hAnsi="宋体" w:cs="宋体"/>
          <w:sz w:val="24"/>
        </w:rPr>
      </w:pPr>
      <w:r>
        <w:rPr>
          <w:rFonts w:hint="eastAsia" w:ascii="宋体" w:hAnsi="宋体" w:cs="宋体"/>
          <w:sz w:val="24"/>
        </w:rPr>
        <w:t>8.2 供应商必须保证响应文件所提供的全部资料真实可靠，并接受对其中任何资料进一步审查的要求。</w:t>
      </w:r>
    </w:p>
    <w:p>
      <w:pPr>
        <w:overflowPunct w:val="0"/>
        <w:adjustRightInd w:val="0"/>
        <w:snapToGrid w:val="0"/>
        <w:spacing w:line="360" w:lineRule="auto"/>
        <w:rPr>
          <w:rFonts w:ascii="宋体" w:hAnsi="宋体" w:cs="宋体"/>
          <w:sz w:val="24"/>
        </w:rPr>
      </w:pPr>
      <w:r>
        <w:rPr>
          <w:rFonts w:hint="eastAsia" w:ascii="宋体" w:hAnsi="宋体" w:cs="宋体"/>
          <w:sz w:val="24"/>
        </w:rPr>
        <w:t>8.3 响应文件须对磋商文件中的内容做出实质性和完整的响应，否则其将被拒绝。</w:t>
      </w:r>
    </w:p>
    <w:p>
      <w:pPr>
        <w:pStyle w:val="2"/>
        <w:overflowPunct w:val="0"/>
        <w:adjustRightInd w:val="0"/>
        <w:snapToGrid w:val="0"/>
        <w:spacing w:before="0" w:after="0" w:line="360" w:lineRule="auto"/>
        <w:rPr>
          <w:rFonts w:ascii="宋体" w:hAnsi="宋体" w:cs="宋体"/>
          <w:sz w:val="24"/>
          <w:szCs w:val="24"/>
        </w:rPr>
      </w:pPr>
      <w:bookmarkStart w:id="126" w:name="_Toc22478"/>
      <w:bookmarkStart w:id="127" w:name="_Toc6542"/>
      <w:bookmarkStart w:id="128" w:name="_Toc25172"/>
      <w:bookmarkStart w:id="129" w:name="_Toc423508232"/>
      <w:bookmarkStart w:id="130" w:name="_Toc29879"/>
      <w:r>
        <w:rPr>
          <w:rFonts w:hint="eastAsia" w:ascii="宋体" w:hAnsi="宋体" w:cs="宋体"/>
          <w:sz w:val="24"/>
          <w:szCs w:val="24"/>
        </w:rPr>
        <w:t>9．磋商语言</w:t>
      </w:r>
      <w:bookmarkEnd w:id="125"/>
      <w:bookmarkEnd w:id="126"/>
      <w:bookmarkEnd w:id="127"/>
      <w:bookmarkEnd w:id="128"/>
      <w:bookmarkEnd w:id="129"/>
      <w:bookmarkEnd w:id="130"/>
    </w:p>
    <w:p>
      <w:pPr>
        <w:overflowPunct w:val="0"/>
        <w:adjustRightInd w:val="0"/>
        <w:snapToGrid w:val="0"/>
        <w:spacing w:line="360" w:lineRule="auto"/>
        <w:rPr>
          <w:rFonts w:ascii="宋体" w:hAnsi="宋体" w:cs="宋体"/>
          <w:sz w:val="24"/>
        </w:rPr>
      </w:pPr>
      <w:r>
        <w:rPr>
          <w:rFonts w:hint="eastAsia" w:ascii="宋体" w:hAnsi="宋体" w:cs="宋体"/>
          <w:sz w:val="24"/>
        </w:rPr>
        <w:t>9.1 由供应商编写的响应文件和往来信件应以简体中文书写。</w:t>
      </w:r>
    </w:p>
    <w:p>
      <w:pPr>
        <w:pStyle w:val="2"/>
        <w:overflowPunct w:val="0"/>
        <w:adjustRightInd w:val="0"/>
        <w:snapToGrid w:val="0"/>
        <w:spacing w:before="0" w:after="0" w:line="360" w:lineRule="auto"/>
        <w:rPr>
          <w:rFonts w:ascii="宋体" w:hAnsi="宋体" w:cs="宋体"/>
          <w:sz w:val="24"/>
          <w:szCs w:val="24"/>
        </w:rPr>
      </w:pPr>
      <w:bookmarkStart w:id="131" w:name="_Toc11978"/>
      <w:bookmarkStart w:id="132" w:name="_Toc14962"/>
      <w:bookmarkStart w:id="133" w:name="_Toc4681"/>
      <w:bookmarkStart w:id="134" w:name="_Toc27880"/>
      <w:bookmarkStart w:id="135" w:name="_Toc423508233"/>
      <w:bookmarkStart w:id="136" w:name="_Toc311415583"/>
      <w:r>
        <w:rPr>
          <w:rFonts w:hint="eastAsia" w:ascii="宋体" w:hAnsi="宋体" w:cs="宋体"/>
          <w:sz w:val="24"/>
          <w:szCs w:val="24"/>
        </w:rPr>
        <w:t>10．计量单位</w:t>
      </w:r>
      <w:bookmarkEnd w:id="131"/>
      <w:bookmarkEnd w:id="132"/>
      <w:bookmarkEnd w:id="133"/>
      <w:bookmarkEnd w:id="134"/>
      <w:bookmarkEnd w:id="135"/>
      <w:bookmarkEnd w:id="136"/>
    </w:p>
    <w:p>
      <w:pPr>
        <w:overflowPunct w:val="0"/>
        <w:adjustRightInd w:val="0"/>
        <w:snapToGrid w:val="0"/>
        <w:spacing w:line="360" w:lineRule="auto"/>
        <w:rPr>
          <w:rFonts w:ascii="宋体" w:hAnsi="宋体" w:cs="宋体"/>
          <w:sz w:val="24"/>
        </w:rPr>
      </w:pPr>
      <w:r>
        <w:rPr>
          <w:rFonts w:hint="eastAsia" w:ascii="宋体" w:hAnsi="宋体" w:cs="宋体"/>
          <w:sz w:val="24"/>
        </w:rPr>
        <w:t>10.1 除在磋商文件的技术规格中另有规定外，计量单位应使用中华人民共和国法定计量单位。</w:t>
      </w:r>
    </w:p>
    <w:p>
      <w:pPr>
        <w:pStyle w:val="2"/>
        <w:overflowPunct w:val="0"/>
        <w:adjustRightInd w:val="0"/>
        <w:snapToGrid w:val="0"/>
        <w:spacing w:before="0" w:after="0" w:line="360" w:lineRule="auto"/>
        <w:rPr>
          <w:rFonts w:ascii="宋体" w:hAnsi="宋体" w:cs="宋体"/>
          <w:sz w:val="24"/>
          <w:szCs w:val="24"/>
        </w:rPr>
      </w:pPr>
      <w:bookmarkStart w:id="137" w:name="_Toc13481"/>
      <w:bookmarkStart w:id="138" w:name="_Toc311415584"/>
      <w:bookmarkStart w:id="139" w:name="_Toc9922"/>
      <w:bookmarkStart w:id="140" w:name="_Toc24798"/>
      <w:bookmarkStart w:id="141" w:name="_Toc32523"/>
      <w:bookmarkStart w:id="142" w:name="_Toc423508234"/>
      <w:r>
        <w:rPr>
          <w:rFonts w:hint="eastAsia" w:ascii="宋体" w:hAnsi="宋体" w:cs="宋体"/>
          <w:sz w:val="24"/>
          <w:szCs w:val="24"/>
        </w:rPr>
        <w:t>11．响应文件的组成</w:t>
      </w:r>
      <w:bookmarkEnd w:id="137"/>
      <w:bookmarkEnd w:id="138"/>
      <w:bookmarkEnd w:id="139"/>
      <w:bookmarkEnd w:id="140"/>
      <w:bookmarkEnd w:id="141"/>
      <w:bookmarkEnd w:id="142"/>
    </w:p>
    <w:p>
      <w:pPr>
        <w:overflowPunct w:val="0"/>
        <w:adjustRightInd w:val="0"/>
        <w:snapToGrid w:val="0"/>
        <w:spacing w:line="360" w:lineRule="auto"/>
        <w:rPr>
          <w:rFonts w:ascii="宋体" w:hAnsi="宋体" w:cs="宋体"/>
          <w:sz w:val="24"/>
        </w:rPr>
      </w:pPr>
      <w:r>
        <w:rPr>
          <w:rFonts w:hint="eastAsia" w:ascii="宋体" w:hAnsi="宋体" w:cs="宋体"/>
          <w:sz w:val="24"/>
        </w:rPr>
        <w:t>11.1采购人只接受供应商提供的唯一响应方案，不接受任何有选择的方案和报价（包括有条件的折扣）。供应商未按要求，提供了选择方案和/或报价的，其磋商将被拒绝。</w:t>
      </w:r>
    </w:p>
    <w:p>
      <w:pPr>
        <w:overflowPunct w:val="0"/>
        <w:adjustRightInd w:val="0"/>
        <w:snapToGrid w:val="0"/>
        <w:spacing w:line="360" w:lineRule="auto"/>
        <w:rPr>
          <w:rFonts w:ascii="宋体" w:hAnsi="宋体" w:cs="宋体"/>
          <w:sz w:val="24"/>
        </w:rPr>
      </w:pPr>
      <w:r>
        <w:rPr>
          <w:rFonts w:hint="eastAsia" w:ascii="宋体" w:hAnsi="宋体" w:cs="宋体"/>
          <w:sz w:val="24"/>
        </w:rPr>
        <w:t>11.2 供应商编写的响应文件应包括下列部分：</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11.2.1磋商响应函、磋商报价表以及所有附件内容。</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11.2.2按照磋商公告出具的供应商资格证明文件。</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11.2.3按照供应商须知前附表出具的报价符合磋商文件规定的证明文件及供应商认为需加以说明的其他内容。</w:t>
      </w:r>
    </w:p>
    <w:p>
      <w:pPr>
        <w:overflowPunct w:val="0"/>
        <w:adjustRightInd w:val="0"/>
        <w:snapToGrid w:val="0"/>
        <w:spacing w:line="360" w:lineRule="auto"/>
        <w:rPr>
          <w:rFonts w:ascii="宋体" w:hAnsi="宋体" w:cs="宋体"/>
          <w:sz w:val="24"/>
        </w:rPr>
      </w:pPr>
      <w:r>
        <w:rPr>
          <w:rFonts w:hint="eastAsia" w:ascii="宋体" w:hAnsi="宋体" w:cs="宋体"/>
          <w:sz w:val="24"/>
        </w:rPr>
        <w:t xml:space="preserve">    11.2.4磋商文件要求供应商提供的其他内容。</w:t>
      </w:r>
    </w:p>
    <w:p>
      <w:pPr>
        <w:pStyle w:val="2"/>
        <w:overflowPunct w:val="0"/>
        <w:adjustRightInd w:val="0"/>
        <w:snapToGrid w:val="0"/>
        <w:spacing w:before="0" w:after="0" w:line="360" w:lineRule="auto"/>
        <w:rPr>
          <w:rFonts w:ascii="宋体" w:hAnsi="宋体" w:cs="宋体"/>
          <w:sz w:val="24"/>
          <w:szCs w:val="24"/>
        </w:rPr>
      </w:pPr>
      <w:bookmarkStart w:id="143" w:name="_Toc6414"/>
      <w:bookmarkStart w:id="144" w:name="_Toc423508235"/>
      <w:bookmarkStart w:id="145" w:name="_Toc28751"/>
      <w:bookmarkStart w:id="146" w:name="_Toc311415585"/>
      <w:bookmarkStart w:id="147" w:name="_Toc900"/>
      <w:bookmarkStart w:id="148" w:name="_Toc20512"/>
      <w:r>
        <w:rPr>
          <w:rFonts w:hint="eastAsia" w:ascii="宋体" w:hAnsi="宋体" w:cs="宋体"/>
          <w:sz w:val="24"/>
          <w:szCs w:val="24"/>
        </w:rPr>
        <w:t>12．响应文件格式</w:t>
      </w:r>
      <w:bookmarkEnd w:id="143"/>
      <w:bookmarkEnd w:id="144"/>
      <w:bookmarkEnd w:id="145"/>
      <w:bookmarkEnd w:id="146"/>
      <w:bookmarkEnd w:id="147"/>
      <w:bookmarkEnd w:id="148"/>
    </w:p>
    <w:p>
      <w:pPr>
        <w:overflowPunct w:val="0"/>
        <w:adjustRightInd w:val="0"/>
        <w:snapToGrid w:val="0"/>
        <w:spacing w:line="360" w:lineRule="auto"/>
        <w:rPr>
          <w:rFonts w:ascii="宋体" w:hAnsi="宋体" w:cs="宋体"/>
          <w:sz w:val="24"/>
        </w:rPr>
      </w:pPr>
      <w:r>
        <w:rPr>
          <w:rFonts w:hint="eastAsia" w:ascii="宋体" w:hAnsi="宋体" w:cs="宋体"/>
          <w:sz w:val="24"/>
        </w:rPr>
        <w:t>12.1 供应商应按磋商文件中提供的响应文件格式填写“磋商响应函”、“磋商报价表”以及其他相关文件。</w:t>
      </w:r>
      <w:bookmarkStart w:id="149" w:name="_Toc423508236"/>
      <w:bookmarkStart w:id="150" w:name="_Toc7711"/>
      <w:bookmarkStart w:id="151" w:name="_Toc8538"/>
      <w:bookmarkStart w:id="152" w:name="_Toc311415586"/>
      <w:bookmarkStart w:id="153" w:name="_Toc180"/>
    </w:p>
    <w:p>
      <w:pPr>
        <w:pStyle w:val="2"/>
        <w:overflowPunct w:val="0"/>
        <w:adjustRightInd w:val="0"/>
        <w:snapToGrid w:val="0"/>
        <w:spacing w:before="0" w:after="0" w:line="360" w:lineRule="auto"/>
        <w:rPr>
          <w:rFonts w:ascii="宋体" w:hAnsi="宋体" w:cs="宋体"/>
          <w:sz w:val="24"/>
          <w:szCs w:val="24"/>
        </w:rPr>
      </w:pPr>
      <w:bookmarkStart w:id="154" w:name="_Toc13245"/>
      <w:r>
        <w:rPr>
          <w:rFonts w:hint="eastAsia" w:ascii="宋体" w:hAnsi="宋体" w:cs="宋体"/>
          <w:sz w:val="24"/>
          <w:szCs w:val="24"/>
        </w:rPr>
        <w:t>13．磋商报价</w:t>
      </w:r>
      <w:bookmarkEnd w:id="149"/>
      <w:bookmarkEnd w:id="150"/>
      <w:bookmarkEnd w:id="151"/>
      <w:bookmarkEnd w:id="152"/>
      <w:bookmarkEnd w:id="153"/>
      <w:bookmarkEnd w:id="154"/>
      <w:bookmarkStart w:id="155" w:name="_Toc22726"/>
      <w:bookmarkStart w:id="156" w:name="_Toc25879"/>
      <w:bookmarkStart w:id="157" w:name="_Toc423508237"/>
      <w:bookmarkStart w:id="158" w:name="_Toc311415587"/>
      <w:bookmarkStart w:id="159" w:name="_Toc3933"/>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.1设备以人民币</w:t>
      </w:r>
      <w:r>
        <w:rPr>
          <w:rFonts w:hint="eastAsia" w:ascii="宋体" w:hAnsi="宋体" w:cs="宋体"/>
          <w:bCs/>
          <w:sz w:val="24"/>
        </w:rPr>
        <w:t>为</w:t>
      </w:r>
      <w:r>
        <w:rPr>
          <w:rFonts w:ascii="宋体" w:hAnsi="宋体" w:cs="宋体"/>
          <w:bCs/>
          <w:sz w:val="24"/>
        </w:rPr>
        <w:t>结算单位。供应商应对所列的所有要求按项目进行响应，不得将采购内容拆开投标。</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2凡本磋商文件要求（或允许）及供应商认为需要进行磋商报价的各项费用项目（不论是否要求进入报价），若报价时未报或未在响应文件中予以说明，采购人将认为这些费用供应商已计取，并包含在总报价中（项目内容、项目量调整除外）。供应商按上述1</w:t>
      </w:r>
      <w:r>
        <w:rPr>
          <w:rFonts w:hint="eastAsia" w:ascii="宋体" w:hAnsi="宋体" w:cs="宋体"/>
          <w:bCs/>
          <w:sz w:val="24"/>
        </w:rPr>
        <w:t>3</w:t>
      </w:r>
      <w:r>
        <w:rPr>
          <w:rFonts w:ascii="宋体" w:hAnsi="宋体" w:cs="宋体"/>
          <w:bCs/>
          <w:sz w:val="24"/>
        </w:rPr>
        <w:t>.2款要求填写“分项报价表”只是为了方便采购人对磋商响应文件进行比较，并不限制采购人以其它方式签订合同的权力。</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3</w:t>
      </w:r>
      <w:r>
        <w:rPr>
          <w:rFonts w:ascii="宋体" w:hAnsi="宋体" w:cs="宋体"/>
          <w:bCs/>
          <w:sz w:val="24"/>
        </w:rPr>
        <w:t>供应商应按照磋商文件附件提供的格式填写“磋商报价表”和“分项报价表”。</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4</w:t>
      </w:r>
      <w:r>
        <w:rPr>
          <w:rFonts w:ascii="宋体" w:hAnsi="宋体" w:cs="宋体"/>
          <w:bCs/>
          <w:sz w:val="24"/>
        </w:rPr>
        <w:t>供应商所报的磋商报价在合同执行过程中是固定不变的，不得以任何理由予以变更。以可调整的价格提交的响应文件将作为非响应性磋商而予以拒绝。</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5</w:t>
      </w:r>
      <w:r>
        <w:rPr>
          <w:rFonts w:ascii="宋体" w:hAnsi="宋体" w:cs="宋体"/>
          <w:bCs/>
          <w:sz w:val="24"/>
        </w:rPr>
        <w:t>因供应商对磋商文件阅读不深、理解不透、误解、疏漏、或因市场行情了解不清造成的后果和风险均由供应商自负。磋商响应过程中所产生的一切费用由供应商自行承担。</w:t>
      </w:r>
    </w:p>
    <w:p>
      <w:pPr>
        <w:overflowPunct w:val="0"/>
        <w:adjustRightInd w:val="0"/>
        <w:snapToGrid w:val="0"/>
        <w:spacing w:line="360" w:lineRule="auto"/>
        <w:rPr>
          <w:rFonts w:ascii="宋体" w:hAnsi="宋体" w:cs="宋体"/>
          <w:bCs/>
          <w:sz w:val="24"/>
        </w:rPr>
      </w:pPr>
      <w:r>
        <w:rPr>
          <w:rFonts w:ascii="宋体" w:hAnsi="宋体" w:cs="宋体"/>
          <w:bCs/>
          <w:sz w:val="24"/>
        </w:rPr>
        <w:t>1</w:t>
      </w:r>
      <w:r>
        <w:rPr>
          <w:rFonts w:hint="eastAsia" w:ascii="宋体" w:hAnsi="宋体" w:cs="宋体"/>
          <w:bCs/>
          <w:sz w:val="24"/>
        </w:rPr>
        <w:t>3</w:t>
      </w:r>
      <w:r>
        <w:rPr>
          <w:rFonts w:ascii="宋体" w:hAnsi="宋体" w:cs="宋体"/>
          <w:bCs/>
          <w:sz w:val="24"/>
        </w:rPr>
        <w:t>.</w:t>
      </w:r>
      <w:r>
        <w:rPr>
          <w:rFonts w:hint="eastAsia" w:ascii="宋体" w:hAnsi="宋体" w:cs="宋体"/>
          <w:bCs/>
          <w:sz w:val="24"/>
        </w:rPr>
        <w:t>6</w:t>
      </w:r>
      <w:r>
        <w:rPr>
          <w:rFonts w:ascii="宋体" w:hAnsi="宋体" w:cs="宋体"/>
          <w:bCs/>
          <w:sz w:val="24"/>
        </w:rPr>
        <w:t>采购人只接受供应商提供的唯一响应方案，不接受备选方案。</w:t>
      </w:r>
    </w:p>
    <w:p>
      <w:pPr>
        <w:pStyle w:val="2"/>
        <w:overflowPunct w:val="0"/>
        <w:adjustRightInd w:val="0"/>
        <w:snapToGrid w:val="0"/>
        <w:spacing w:before="0" w:after="0" w:line="360" w:lineRule="auto"/>
        <w:rPr>
          <w:rFonts w:ascii="宋体" w:hAnsi="宋体" w:cs="宋体"/>
          <w:sz w:val="24"/>
          <w:szCs w:val="24"/>
        </w:rPr>
      </w:pPr>
      <w:bookmarkStart w:id="160" w:name="_Toc9293"/>
      <w:r>
        <w:rPr>
          <w:rFonts w:hint="eastAsia" w:ascii="宋体" w:hAnsi="宋体" w:cs="宋体"/>
          <w:sz w:val="24"/>
          <w:szCs w:val="24"/>
        </w:rPr>
        <w:t>14．磋商货币</w:t>
      </w:r>
      <w:bookmarkEnd w:id="155"/>
      <w:bookmarkEnd w:id="156"/>
      <w:bookmarkEnd w:id="157"/>
      <w:bookmarkEnd w:id="158"/>
      <w:bookmarkEnd w:id="159"/>
      <w:bookmarkEnd w:id="160"/>
    </w:p>
    <w:p>
      <w:pPr>
        <w:overflowPunct w:val="0"/>
        <w:adjustRightInd w:val="0"/>
        <w:snapToGrid w:val="0"/>
        <w:spacing w:line="360" w:lineRule="auto"/>
        <w:rPr>
          <w:rFonts w:ascii="宋体" w:hAnsi="宋体" w:cs="宋体"/>
          <w:sz w:val="24"/>
        </w:rPr>
      </w:pPr>
      <w:r>
        <w:rPr>
          <w:rFonts w:hint="eastAsia" w:ascii="宋体" w:hAnsi="宋体" w:cs="宋体"/>
          <w:sz w:val="24"/>
        </w:rPr>
        <w:t>14.1 采购人只接受人民币作为唯一磋商货币。</w:t>
      </w:r>
    </w:p>
    <w:p>
      <w:pPr>
        <w:pStyle w:val="2"/>
        <w:overflowPunct w:val="0"/>
        <w:adjustRightInd w:val="0"/>
        <w:snapToGrid w:val="0"/>
        <w:spacing w:before="0" w:after="0" w:line="360" w:lineRule="auto"/>
        <w:rPr>
          <w:rFonts w:ascii="宋体" w:hAnsi="宋体" w:cs="宋体"/>
          <w:sz w:val="24"/>
          <w:szCs w:val="24"/>
        </w:rPr>
      </w:pPr>
      <w:bookmarkStart w:id="161" w:name="_Toc311415588"/>
      <w:bookmarkStart w:id="162" w:name="_Toc16826"/>
      <w:bookmarkStart w:id="163" w:name="_Toc9268"/>
      <w:bookmarkStart w:id="164" w:name="_Toc8477"/>
      <w:bookmarkStart w:id="165" w:name="_Toc22858"/>
      <w:bookmarkStart w:id="166" w:name="_Toc423508238"/>
      <w:r>
        <w:rPr>
          <w:rFonts w:hint="eastAsia" w:ascii="宋体" w:hAnsi="宋体" w:cs="宋体"/>
          <w:sz w:val="24"/>
          <w:szCs w:val="24"/>
        </w:rPr>
        <w:t>15．证明供应商资格的证明文件</w:t>
      </w:r>
      <w:bookmarkEnd w:id="161"/>
      <w:bookmarkEnd w:id="162"/>
      <w:bookmarkEnd w:id="163"/>
      <w:bookmarkEnd w:id="164"/>
      <w:bookmarkEnd w:id="165"/>
      <w:bookmarkEnd w:id="166"/>
    </w:p>
    <w:p>
      <w:pPr>
        <w:overflowPunct w:val="0"/>
        <w:adjustRightInd w:val="0"/>
        <w:snapToGrid w:val="0"/>
        <w:spacing w:line="360" w:lineRule="auto"/>
        <w:rPr>
          <w:rFonts w:ascii="宋体" w:hAnsi="宋体" w:cs="宋体"/>
          <w:sz w:val="24"/>
        </w:rPr>
      </w:pPr>
      <w:r>
        <w:rPr>
          <w:rFonts w:hint="eastAsia" w:ascii="宋体" w:hAnsi="宋体" w:cs="宋体"/>
          <w:sz w:val="24"/>
        </w:rPr>
        <w:t>15.1 供应商必须按要求提交证明文件，以证明其有资格参加磋商和成交后有履行合同的能力，并作为其响应文件的一部分。</w:t>
      </w:r>
    </w:p>
    <w:p>
      <w:pPr>
        <w:pStyle w:val="2"/>
        <w:overflowPunct w:val="0"/>
        <w:adjustRightInd w:val="0"/>
        <w:snapToGrid w:val="0"/>
        <w:spacing w:before="0" w:after="0" w:line="360" w:lineRule="auto"/>
        <w:rPr>
          <w:rFonts w:ascii="宋体" w:hAnsi="宋体" w:cs="宋体"/>
          <w:sz w:val="24"/>
          <w:szCs w:val="24"/>
        </w:rPr>
      </w:pPr>
      <w:bookmarkStart w:id="167" w:name="_Toc311415589"/>
      <w:bookmarkStart w:id="168" w:name="_Toc423508239"/>
      <w:bookmarkStart w:id="169" w:name="_Toc19602"/>
      <w:bookmarkStart w:id="170" w:name="_Toc32064"/>
      <w:bookmarkStart w:id="171" w:name="_Toc16360"/>
      <w:bookmarkStart w:id="172" w:name="_Toc14776"/>
      <w:r>
        <w:rPr>
          <w:rFonts w:hint="eastAsia" w:ascii="宋体" w:hAnsi="宋体" w:cs="宋体"/>
          <w:sz w:val="24"/>
          <w:szCs w:val="24"/>
        </w:rPr>
        <w:t>16．证明货物及服务的合格性和符合磋商文件规定的文件</w:t>
      </w:r>
      <w:bookmarkEnd w:id="167"/>
      <w:bookmarkEnd w:id="168"/>
      <w:bookmarkEnd w:id="169"/>
      <w:bookmarkEnd w:id="170"/>
      <w:bookmarkEnd w:id="171"/>
      <w:bookmarkEnd w:id="172"/>
    </w:p>
    <w:p>
      <w:pPr>
        <w:overflowPunct w:val="0"/>
        <w:adjustRightInd w:val="0"/>
        <w:snapToGrid w:val="0"/>
        <w:spacing w:line="360" w:lineRule="auto"/>
        <w:rPr>
          <w:rFonts w:ascii="宋体" w:hAnsi="宋体" w:cs="宋体"/>
          <w:sz w:val="24"/>
        </w:rPr>
      </w:pPr>
      <w:r>
        <w:rPr>
          <w:rFonts w:hint="eastAsia" w:ascii="宋体" w:hAnsi="宋体" w:cs="宋体"/>
          <w:sz w:val="24"/>
        </w:rPr>
        <w:t>16.1 供应商应对磋商文件中的各项条款做出清晰准确的答复。</w:t>
      </w:r>
    </w:p>
    <w:p>
      <w:pPr>
        <w:overflowPunct w:val="0"/>
        <w:adjustRightInd w:val="0"/>
        <w:snapToGrid w:val="0"/>
        <w:spacing w:line="360" w:lineRule="auto"/>
        <w:rPr>
          <w:rFonts w:ascii="宋体" w:hAnsi="宋体" w:cs="宋体"/>
          <w:sz w:val="24"/>
        </w:rPr>
      </w:pPr>
      <w:r>
        <w:rPr>
          <w:rFonts w:hint="eastAsia" w:ascii="宋体" w:hAnsi="宋体" w:cs="宋体"/>
          <w:sz w:val="24"/>
        </w:rPr>
        <w:t>16.2 证明货物及服务质量与磋商文件的要求相一致的文件，它可以是文字资料、图表、数据、证书、业主证明，包括：</w:t>
      </w:r>
    </w:p>
    <w:p>
      <w:pPr>
        <w:overflowPunct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16.2.1 提供技术方案。</w:t>
      </w:r>
    </w:p>
    <w:p>
      <w:pPr>
        <w:overflowPunct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 16.2.2供应商书面承诺：将承担起后期服务的责任，并提供服务承诺书。</w:t>
      </w:r>
    </w:p>
    <w:p>
      <w:pPr>
        <w:pStyle w:val="2"/>
        <w:overflowPunct w:val="0"/>
        <w:adjustRightInd w:val="0"/>
        <w:snapToGrid w:val="0"/>
        <w:spacing w:before="0" w:after="0" w:line="360" w:lineRule="auto"/>
        <w:rPr>
          <w:rFonts w:ascii="宋体" w:hAnsi="宋体" w:cs="宋体"/>
          <w:sz w:val="24"/>
          <w:szCs w:val="24"/>
        </w:rPr>
      </w:pPr>
      <w:bookmarkStart w:id="173" w:name="_Toc28191"/>
      <w:bookmarkStart w:id="174" w:name="_Toc311415591"/>
      <w:bookmarkStart w:id="175" w:name="_Toc423508241"/>
      <w:bookmarkStart w:id="176" w:name="_Toc28074"/>
      <w:bookmarkStart w:id="177" w:name="_Toc6556"/>
      <w:bookmarkStart w:id="178" w:name="_Toc8174"/>
      <w:r>
        <w:rPr>
          <w:rFonts w:hint="eastAsia" w:ascii="宋体" w:hAnsi="宋体" w:cs="宋体"/>
          <w:sz w:val="24"/>
          <w:szCs w:val="24"/>
        </w:rPr>
        <w:t>17．磋商有效期</w:t>
      </w:r>
      <w:bookmarkEnd w:id="173"/>
      <w:bookmarkEnd w:id="174"/>
      <w:bookmarkEnd w:id="175"/>
      <w:bookmarkEnd w:id="176"/>
      <w:bookmarkEnd w:id="177"/>
      <w:bookmarkEnd w:id="178"/>
    </w:p>
    <w:p>
      <w:pPr>
        <w:overflowPunct w:val="0"/>
        <w:adjustRightInd w:val="0"/>
        <w:snapToGrid w:val="0"/>
        <w:spacing w:line="360" w:lineRule="auto"/>
        <w:rPr>
          <w:rFonts w:ascii="宋体" w:hAnsi="宋体" w:cs="宋体"/>
          <w:sz w:val="24"/>
        </w:rPr>
      </w:pPr>
      <w:r>
        <w:rPr>
          <w:rFonts w:hint="eastAsia" w:ascii="宋体" w:hAnsi="宋体" w:cs="宋体"/>
          <w:sz w:val="24"/>
        </w:rPr>
        <w:t>17.1  按供应商须知前附表要求进行提交。响应文件的有效期比本须知规定的有效期短的，将被视为非响应投标，采购人有权拒绝。</w:t>
      </w:r>
    </w:p>
    <w:p>
      <w:pPr>
        <w:overflowPunct w:val="0"/>
        <w:adjustRightInd w:val="0"/>
        <w:snapToGrid w:val="0"/>
        <w:spacing w:line="360" w:lineRule="auto"/>
        <w:rPr>
          <w:rFonts w:ascii="宋体" w:hAnsi="宋体" w:cs="宋体"/>
          <w:sz w:val="24"/>
        </w:rPr>
      </w:pPr>
      <w:r>
        <w:rPr>
          <w:rFonts w:hint="eastAsia" w:ascii="宋体" w:hAnsi="宋体" w:cs="宋体"/>
          <w:sz w:val="24"/>
        </w:rPr>
        <w:t>17.2  特殊情况下，采购人可于磋商有效期满之前要求供应商同意延长有效期，要求与答复均应为书面形式。供应商可以拒绝上述要求，其磋商保证金不被没收。对于同意该要求的供应商，不要求也不允许其修改响应文件，但将要求其相应延长磋商保证金的有效期，有关退还和没收磋商保证金的规定在磋商有效期的延长期内继续有效。</w:t>
      </w:r>
    </w:p>
    <w:p>
      <w:pPr>
        <w:pStyle w:val="2"/>
        <w:overflowPunct w:val="0"/>
        <w:adjustRightInd w:val="0"/>
        <w:snapToGrid w:val="0"/>
        <w:spacing w:before="0" w:after="0" w:line="360" w:lineRule="auto"/>
        <w:rPr>
          <w:rFonts w:ascii="宋体" w:hAnsi="宋体" w:cs="宋体"/>
          <w:sz w:val="24"/>
          <w:szCs w:val="24"/>
        </w:rPr>
      </w:pPr>
      <w:bookmarkStart w:id="179" w:name="_Toc21466"/>
      <w:bookmarkStart w:id="180" w:name="_Toc423508242"/>
      <w:bookmarkStart w:id="181" w:name="_Toc1470"/>
      <w:bookmarkStart w:id="182" w:name="_Toc311415592"/>
      <w:bookmarkStart w:id="183" w:name="_Toc21537"/>
      <w:bookmarkStart w:id="184" w:name="_Toc14763"/>
      <w:r>
        <w:rPr>
          <w:rFonts w:hint="eastAsia" w:ascii="宋体" w:hAnsi="宋体" w:cs="宋体"/>
          <w:sz w:val="24"/>
          <w:szCs w:val="24"/>
        </w:rPr>
        <w:t>18．响应文件的签署及格式</w:t>
      </w:r>
      <w:bookmarkEnd w:id="179"/>
      <w:bookmarkEnd w:id="180"/>
      <w:bookmarkEnd w:id="181"/>
      <w:bookmarkEnd w:id="182"/>
      <w:bookmarkEnd w:id="183"/>
      <w:bookmarkEnd w:id="184"/>
    </w:p>
    <w:p>
      <w:pPr>
        <w:spacing w:line="360" w:lineRule="auto"/>
        <w:rPr>
          <w:rFonts w:ascii="宋体" w:hAnsi="宋体" w:cs="宋体"/>
          <w:sz w:val="24"/>
        </w:rPr>
      </w:pPr>
      <w:bookmarkStart w:id="185" w:name="_Toc332874422"/>
      <w:bookmarkStart w:id="186" w:name="_Toc409684169"/>
      <w:bookmarkStart w:id="187" w:name="_Toc283626505"/>
      <w:bookmarkStart w:id="188" w:name="_Toc311415593"/>
      <w:bookmarkStart w:id="189" w:name="_Toc283240489"/>
      <w:bookmarkStart w:id="190" w:name="_Toc423508243"/>
      <w:r>
        <w:rPr>
          <w:rFonts w:hint="eastAsia" w:ascii="宋体" w:hAnsi="宋体" w:cs="宋体"/>
          <w:sz w:val="24"/>
        </w:rPr>
        <w:t>18.1  响应文件的正本和所有副本均须打印或用不褪色墨水书写。响应文件应由供应商法定代表人或经法定代表人正式授权的供应商授权代表在“磋商文件”要求的地方签字并加盖印章。一旦正本和副本有差异，以正本为准。</w:t>
      </w:r>
    </w:p>
    <w:p>
      <w:pPr>
        <w:spacing w:line="360" w:lineRule="auto"/>
        <w:rPr>
          <w:rFonts w:ascii="宋体" w:hAnsi="宋体" w:cs="宋体"/>
          <w:sz w:val="24"/>
        </w:rPr>
      </w:pPr>
      <w:r>
        <w:rPr>
          <w:rFonts w:hint="eastAsia" w:ascii="宋体" w:hAnsi="宋体" w:cs="宋体"/>
          <w:sz w:val="24"/>
        </w:rPr>
        <w:t>18.2  除供应商对错处作必要修改外，响应文件中不许有加行、涂抹或改写。若有修改须由签署响应文件的人在旁边签字或加盖印章有效。</w:t>
      </w:r>
    </w:p>
    <w:p>
      <w:pPr>
        <w:spacing w:line="360" w:lineRule="auto"/>
        <w:rPr>
          <w:rFonts w:ascii="宋体" w:hAnsi="宋体" w:cs="宋体"/>
          <w:sz w:val="24"/>
        </w:rPr>
      </w:pPr>
      <w:r>
        <w:rPr>
          <w:rFonts w:hint="eastAsia" w:ascii="宋体" w:hAnsi="宋体" w:cs="宋体"/>
          <w:sz w:val="24"/>
        </w:rPr>
        <w:t>18.3  拒绝接受以电话、传真、电子邮件形式的响应文件。</w:t>
      </w:r>
    </w:p>
    <w:p>
      <w:pPr>
        <w:pStyle w:val="4"/>
        <w:spacing w:line="360" w:lineRule="auto"/>
        <w:jc w:val="center"/>
        <w:rPr>
          <w:rFonts w:ascii="宋体" w:hAnsi="宋体" w:eastAsia="宋体" w:cs="宋体"/>
          <w:b w:val="0"/>
          <w:sz w:val="44"/>
        </w:rPr>
      </w:pPr>
      <w:bookmarkStart w:id="191" w:name="_Toc15910"/>
      <w:bookmarkStart w:id="192" w:name="_Toc31848"/>
      <w:bookmarkStart w:id="193" w:name="_Toc23417"/>
      <w:bookmarkStart w:id="194" w:name="_Toc31267"/>
      <w:bookmarkStart w:id="195" w:name="_Toc6539"/>
      <w:bookmarkStart w:id="196" w:name="_Toc8312"/>
      <w:r>
        <w:rPr>
          <w:rFonts w:hint="eastAsia" w:ascii="宋体" w:hAnsi="宋体" w:eastAsia="宋体" w:cs="宋体"/>
          <w:b w:val="0"/>
          <w:sz w:val="44"/>
        </w:rPr>
        <w:t>D．响应文件的递交</w:t>
      </w:r>
      <w:bookmarkEnd w:id="185"/>
      <w:bookmarkEnd w:id="186"/>
      <w:bookmarkEnd w:id="187"/>
      <w:bookmarkEnd w:id="188"/>
      <w:bookmarkEnd w:id="189"/>
      <w:bookmarkEnd w:id="190"/>
      <w:bookmarkEnd w:id="191"/>
      <w:bookmarkEnd w:id="192"/>
      <w:bookmarkEnd w:id="193"/>
      <w:bookmarkEnd w:id="194"/>
      <w:bookmarkEnd w:id="195"/>
      <w:bookmarkEnd w:id="196"/>
    </w:p>
    <w:p>
      <w:pPr>
        <w:pStyle w:val="2"/>
        <w:overflowPunct w:val="0"/>
        <w:adjustRightInd w:val="0"/>
        <w:snapToGrid w:val="0"/>
        <w:spacing w:before="0" w:after="0" w:line="360" w:lineRule="auto"/>
        <w:rPr>
          <w:rFonts w:ascii="宋体" w:hAnsi="宋体" w:cs="宋体"/>
          <w:sz w:val="24"/>
          <w:szCs w:val="24"/>
        </w:rPr>
      </w:pPr>
      <w:bookmarkStart w:id="197" w:name="_Toc5692"/>
      <w:bookmarkStart w:id="198" w:name="_Toc19680"/>
      <w:bookmarkStart w:id="199" w:name="_Toc32216"/>
      <w:bookmarkStart w:id="200" w:name="_Toc9872"/>
      <w:bookmarkStart w:id="201" w:name="_Toc311415594"/>
      <w:bookmarkStart w:id="202" w:name="_Toc423508244"/>
      <w:r>
        <w:rPr>
          <w:rFonts w:hint="eastAsia" w:ascii="宋体" w:hAnsi="宋体" w:cs="宋体"/>
          <w:sz w:val="24"/>
          <w:szCs w:val="24"/>
        </w:rPr>
        <w:t>19．响应文件的数量、包装和标记</w:t>
      </w:r>
      <w:bookmarkEnd w:id="197"/>
      <w:bookmarkEnd w:id="198"/>
      <w:bookmarkEnd w:id="199"/>
      <w:bookmarkEnd w:id="200"/>
      <w:bookmarkEnd w:id="201"/>
      <w:bookmarkEnd w:id="202"/>
    </w:p>
    <w:p>
      <w:pPr>
        <w:overflowPunct w:val="0"/>
        <w:adjustRightInd w:val="0"/>
        <w:snapToGrid w:val="0"/>
        <w:spacing w:line="360" w:lineRule="auto"/>
        <w:rPr>
          <w:rFonts w:ascii="宋体" w:hAnsi="宋体" w:cs="宋体"/>
          <w:sz w:val="24"/>
        </w:rPr>
      </w:pPr>
      <w:bookmarkStart w:id="203" w:name="_Toc311415595"/>
      <w:bookmarkStart w:id="204" w:name="_Toc423508245"/>
      <w:r>
        <w:rPr>
          <w:rFonts w:hint="eastAsia" w:ascii="宋体" w:hAnsi="宋体" w:cs="宋体"/>
          <w:sz w:val="24"/>
          <w:szCs w:val="24"/>
        </w:rPr>
        <w:t>19</w:t>
      </w:r>
      <w:r>
        <w:rPr>
          <w:rFonts w:hint="eastAsia" w:ascii="宋体" w:hAnsi="宋体" w:cs="宋体"/>
          <w:sz w:val="24"/>
        </w:rPr>
        <w:t>.1 响应文件数量详见供应商须知前附表。</w:t>
      </w:r>
    </w:p>
    <w:p>
      <w:pPr>
        <w:overflowPunct w:val="0"/>
        <w:adjustRightInd w:val="0"/>
        <w:snapToGrid w:val="0"/>
        <w:spacing w:line="360" w:lineRule="auto"/>
        <w:rPr>
          <w:rFonts w:ascii="宋体" w:hAnsi="宋体" w:cs="宋体"/>
          <w:sz w:val="24"/>
        </w:rPr>
      </w:pPr>
      <w:r>
        <w:rPr>
          <w:rFonts w:hint="eastAsia" w:ascii="宋体" w:hAnsi="宋体" w:cs="宋体"/>
          <w:sz w:val="24"/>
        </w:rPr>
        <w:t>供应商应将响应文件的正本、副本分别装订，每套“响应文件”封面应标明“正本”、“副本”。一旦正本与副本不符，以正本为准。</w:t>
      </w:r>
    </w:p>
    <w:p>
      <w:pPr>
        <w:overflowPunct w:val="0"/>
        <w:adjustRightInd w:val="0"/>
        <w:snapToGrid w:val="0"/>
        <w:spacing w:line="360" w:lineRule="auto"/>
        <w:rPr>
          <w:rFonts w:ascii="宋体" w:hAnsi="宋体" w:cs="宋体"/>
          <w:sz w:val="24"/>
        </w:rPr>
      </w:pPr>
      <w:r>
        <w:rPr>
          <w:rFonts w:hint="eastAsia" w:ascii="宋体" w:hAnsi="宋体" w:cs="宋体"/>
          <w:sz w:val="24"/>
          <w:szCs w:val="24"/>
        </w:rPr>
        <w:t>19</w:t>
      </w:r>
      <w:r>
        <w:rPr>
          <w:rFonts w:hint="eastAsia" w:ascii="宋体" w:hAnsi="宋体" w:cs="宋体"/>
          <w:sz w:val="24"/>
        </w:rPr>
        <w:t>.2  响应文件正本以密封袋/箱单独密封，所有的副本以密封袋/箱单独密封。密封袋/箱正面和响应文件封面须标明“正本”“副本”字样。所有响应文件的密封袋/箱应加盖供应商公章。</w:t>
      </w:r>
    </w:p>
    <w:p>
      <w:pPr>
        <w:overflowPunct w:val="0"/>
        <w:adjustRightInd w:val="0"/>
        <w:snapToGrid w:val="0"/>
        <w:spacing w:line="360" w:lineRule="auto"/>
        <w:rPr>
          <w:rFonts w:ascii="宋体" w:hAnsi="宋体" w:cs="宋体"/>
          <w:sz w:val="24"/>
        </w:rPr>
      </w:pPr>
      <w:r>
        <w:rPr>
          <w:rFonts w:hint="eastAsia" w:ascii="宋体" w:hAnsi="宋体" w:cs="宋体"/>
          <w:sz w:val="24"/>
          <w:szCs w:val="24"/>
        </w:rPr>
        <w:t>19</w:t>
      </w:r>
      <w:r>
        <w:rPr>
          <w:rFonts w:hint="eastAsia" w:ascii="宋体" w:hAnsi="宋体" w:cs="宋体"/>
          <w:sz w:val="24"/>
        </w:rPr>
        <w:t>.2.1响应文件必须密封递交。对封装材料及样式不作特别规定，但供应商应当保证其封装的可靠性，不致因搬运、堆放等原因散开。所有密封袋/箱正面和响应文件封面须标明采购项目名称、采购项目编号、供应商名称及“正本”、“副本”字样。</w:t>
      </w:r>
    </w:p>
    <w:p>
      <w:pPr>
        <w:overflowPunct w:val="0"/>
        <w:adjustRightInd w:val="0"/>
        <w:snapToGrid w:val="0"/>
        <w:spacing w:line="360" w:lineRule="auto"/>
        <w:rPr>
          <w:rFonts w:ascii="宋体" w:hAnsi="宋体" w:cs="宋体"/>
          <w:sz w:val="24"/>
        </w:rPr>
      </w:pPr>
      <w:r>
        <w:rPr>
          <w:rFonts w:hint="eastAsia" w:ascii="宋体" w:hAnsi="宋体" w:cs="宋体"/>
          <w:sz w:val="24"/>
          <w:szCs w:val="24"/>
        </w:rPr>
        <w:t>19</w:t>
      </w:r>
      <w:r>
        <w:rPr>
          <w:rFonts w:hint="eastAsia" w:ascii="宋体" w:hAnsi="宋体" w:cs="宋体"/>
          <w:sz w:val="24"/>
        </w:rPr>
        <w:t>.2.2所有响应文件的密封袋/箱的封面应加盖供应商公章。</w:t>
      </w:r>
    </w:p>
    <w:p>
      <w:pPr>
        <w:pStyle w:val="2"/>
        <w:overflowPunct w:val="0"/>
        <w:adjustRightInd w:val="0"/>
        <w:snapToGrid w:val="0"/>
        <w:spacing w:before="0" w:after="0" w:line="360" w:lineRule="auto"/>
        <w:rPr>
          <w:rFonts w:ascii="宋体" w:hAnsi="宋体" w:cs="宋体"/>
          <w:sz w:val="24"/>
          <w:szCs w:val="24"/>
        </w:rPr>
      </w:pPr>
      <w:bookmarkStart w:id="205" w:name="_Toc11730"/>
      <w:bookmarkStart w:id="206" w:name="_Toc24506"/>
      <w:bookmarkStart w:id="207" w:name="_Toc20656"/>
      <w:bookmarkStart w:id="208" w:name="_Toc20604"/>
      <w:r>
        <w:rPr>
          <w:rFonts w:hint="eastAsia" w:ascii="宋体" w:hAnsi="宋体" w:cs="宋体"/>
          <w:sz w:val="24"/>
          <w:szCs w:val="24"/>
        </w:rPr>
        <w:t>20．磋商截止时间</w:t>
      </w:r>
      <w:bookmarkEnd w:id="203"/>
      <w:bookmarkEnd w:id="204"/>
      <w:bookmarkEnd w:id="205"/>
      <w:bookmarkEnd w:id="206"/>
      <w:bookmarkEnd w:id="207"/>
      <w:bookmarkEnd w:id="208"/>
    </w:p>
    <w:p>
      <w:pPr>
        <w:overflowPunct w:val="0"/>
        <w:adjustRightInd w:val="0"/>
        <w:snapToGrid w:val="0"/>
        <w:spacing w:line="360" w:lineRule="auto"/>
        <w:rPr>
          <w:rFonts w:ascii="宋体" w:hAnsi="宋体" w:cs="宋体"/>
          <w:sz w:val="24"/>
        </w:rPr>
      </w:pPr>
      <w:r>
        <w:rPr>
          <w:rFonts w:hint="eastAsia" w:ascii="宋体" w:hAnsi="宋体" w:cs="宋体"/>
          <w:sz w:val="24"/>
        </w:rPr>
        <w:t>20.1 所有响应文件都必须按“磋商公告”中规定的响应文件递交截止时间前送达磋商文件规定的递交地址。</w:t>
      </w:r>
    </w:p>
    <w:p>
      <w:pPr>
        <w:overflowPunct w:val="0"/>
        <w:adjustRightInd w:val="0"/>
        <w:snapToGrid w:val="0"/>
        <w:spacing w:line="360" w:lineRule="auto"/>
        <w:rPr>
          <w:rFonts w:ascii="宋体" w:hAnsi="宋体" w:cs="宋体"/>
          <w:sz w:val="24"/>
        </w:rPr>
      </w:pPr>
      <w:r>
        <w:rPr>
          <w:rFonts w:hint="eastAsia" w:ascii="宋体" w:hAnsi="宋体" w:cs="宋体"/>
          <w:sz w:val="24"/>
        </w:rPr>
        <w:t>20.2 出现第7.3款因磋商文件的修改推迟磋商截止日期时，则按采购人修改通知规定的时间递交。</w:t>
      </w:r>
    </w:p>
    <w:p>
      <w:pPr>
        <w:overflowPunct w:val="0"/>
        <w:adjustRightInd w:val="0"/>
        <w:snapToGrid w:val="0"/>
        <w:spacing w:line="360" w:lineRule="auto"/>
        <w:rPr>
          <w:rFonts w:ascii="宋体" w:hAnsi="宋体" w:cs="宋体"/>
          <w:sz w:val="24"/>
        </w:rPr>
      </w:pPr>
      <w:r>
        <w:rPr>
          <w:rFonts w:hint="eastAsia" w:ascii="宋体" w:hAnsi="宋体" w:cs="宋体"/>
          <w:sz w:val="24"/>
        </w:rPr>
        <w:t>20.3在响应文件递交截止时间之后的任何响应文件将被拒绝接收。</w:t>
      </w:r>
    </w:p>
    <w:p>
      <w:pPr>
        <w:pStyle w:val="2"/>
        <w:overflowPunct w:val="0"/>
        <w:adjustRightInd w:val="0"/>
        <w:snapToGrid w:val="0"/>
        <w:spacing w:before="0" w:after="0" w:line="360" w:lineRule="auto"/>
        <w:rPr>
          <w:rFonts w:ascii="宋体" w:hAnsi="宋体" w:cs="宋体"/>
          <w:sz w:val="24"/>
          <w:szCs w:val="24"/>
        </w:rPr>
      </w:pPr>
      <w:bookmarkStart w:id="209" w:name="_Toc311415596"/>
      <w:bookmarkStart w:id="210" w:name="_Toc16818"/>
      <w:bookmarkStart w:id="211" w:name="_Toc4480"/>
      <w:bookmarkStart w:id="212" w:name="_Toc423508246"/>
      <w:bookmarkStart w:id="213" w:name="_Toc6931"/>
      <w:bookmarkStart w:id="214" w:name="_Toc31822"/>
      <w:r>
        <w:rPr>
          <w:rFonts w:hint="eastAsia" w:ascii="宋体" w:hAnsi="宋体" w:cs="宋体"/>
          <w:sz w:val="24"/>
          <w:szCs w:val="24"/>
        </w:rPr>
        <w:t>21．响应文件的修改与撤回</w:t>
      </w:r>
      <w:bookmarkEnd w:id="209"/>
      <w:bookmarkEnd w:id="210"/>
      <w:bookmarkEnd w:id="211"/>
      <w:bookmarkEnd w:id="212"/>
      <w:bookmarkEnd w:id="213"/>
      <w:bookmarkEnd w:id="214"/>
    </w:p>
    <w:p>
      <w:pPr>
        <w:overflowPunct w:val="0"/>
        <w:adjustRightInd w:val="0"/>
        <w:snapToGrid w:val="0"/>
        <w:spacing w:line="360" w:lineRule="auto"/>
        <w:rPr>
          <w:rFonts w:ascii="宋体" w:hAnsi="宋体" w:cs="宋体"/>
          <w:sz w:val="24"/>
        </w:rPr>
      </w:pPr>
      <w:r>
        <w:rPr>
          <w:rFonts w:hint="eastAsia" w:ascii="宋体" w:hAnsi="宋体" w:cs="宋体"/>
          <w:sz w:val="24"/>
        </w:rPr>
        <w:t>21.1 供应商在递交响应文件后，在规定的截止时间之前，可以以书面形式补充修改或撤回已提交的响应文件，并以书面形式通知采购人。补充或修改的内容作为响应文件的组成部分。</w:t>
      </w:r>
    </w:p>
    <w:p>
      <w:pPr>
        <w:overflowPunct w:val="0"/>
        <w:adjustRightInd w:val="0"/>
        <w:snapToGrid w:val="0"/>
        <w:spacing w:line="360" w:lineRule="auto"/>
        <w:rPr>
          <w:rFonts w:ascii="宋体" w:hAnsi="宋体" w:cs="宋体"/>
          <w:sz w:val="24"/>
        </w:rPr>
      </w:pPr>
      <w:r>
        <w:rPr>
          <w:rFonts w:hint="eastAsia" w:ascii="宋体" w:hAnsi="宋体" w:cs="宋体"/>
          <w:sz w:val="24"/>
        </w:rPr>
        <w:t>21.2 供应商对响应文件的补充修改，应按照磋商文件的规定密封、标记和提交。其送达时间不得迟于磋商截止时间。</w:t>
      </w:r>
    </w:p>
    <w:p>
      <w:pPr>
        <w:overflowPunct w:val="0"/>
        <w:adjustRightInd w:val="0"/>
        <w:snapToGrid w:val="0"/>
        <w:spacing w:line="360" w:lineRule="auto"/>
        <w:rPr>
          <w:rFonts w:ascii="宋体" w:hAnsi="宋体" w:cs="宋体"/>
          <w:sz w:val="24"/>
        </w:rPr>
      </w:pPr>
      <w:r>
        <w:rPr>
          <w:rFonts w:hint="eastAsia" w:ascii="宋体" w:hAnsi="宋体" w:cs="宋体"/>
          <w:sz w:val="24"/>
        </w:rPr>
        <w:t>21.3 在磋商截止期之后，供应商不得对其磋商做任何修改。</w:t>
      </w:r>
    </w:p>
    <w:p>
      <w:pPr>
        <w:overflowPunct w:val="0"/>
        <w:adjustRightInd w:val="0"/>
        <w:snapToGrid w:val="0"/>
        <w:spacing w:line="360" w:lineRule="auto"/>
        <w:rPr>
          <w:rFonts w:ascii="宋体" w:hAnsi="宋体" w:cs="宋体"/>
          <w:sz w:val="24"/>
        </w:rPr>
      </w:pPr>
      <w:r>
        <w:rPr>
          <w:rFonts w:hint="eastAsia" w:ascii="宋体" w:hAnsi="宋体" w:cs="宋体"/>
          <w:sz w:val="24"/>
        </w:rPr>
        <w:t>21.4 已提交响应文件的供应商，在提交最后报价之前，可以根据磋商情况退出磋商。</w:t>
      </w:r>
    </w:p>
    <w:p>
      <w:pPr>
        <w:overflowPunct w:val="0"/>
        <w:adjustRightInd w:val="0"/>
        <w:snapToGrid w:val="0"/>
        <w:spacing w:line="360" w:lineRule="auto"/>
        <w:rPr>
          <w:rFonts w:ascii="宋体" w:hAnsi="宋体" w:cs="宋体"/>
          <w:sz w:val="24"/>
        </w:rPr>
      </w:pPr>
      <w:r>
        <w:rPr>
          <w:rFonts w:hint="eastAsia" w:ascii="宋体" w:hAnsi="宋体" w:cs="宋体"/>
          <w:sz w:val="24"/>
        </w:rPr>
        <w:t>21.5 无论供应商成交与否或者废标，其响应文件概不退还。</w:t>
      </w:r>
    </w:p>
    <w:p>
      <w:pPr>
        <w:pStyle w:val="4"/>
        <w:spacing w:line="360" w:lineRule="auto"/>
        <w:jc w:val="center"/>
        <w:rPr>
          <w:rFonts w:ascii="宋体" w:hAnsi="宋体" w:eastAsia="宋体" w:cs="宋体"/>
          <w:b w:val="0"/>
          <w:sz w:val="44"/>
        </w:rPr>
      </w:pPr>
      <w:bookmarkStart w:id="215" w:name="_Toc26207"/>
      <w:bookmarkStart w:id="216" w:name="_Toc6112"/>
      <w:bookmarkStart w:id="217" w:name="_Toc25709"/>
      <w:bookmarkStart w:id="218" w:name="_Toc409684170"/>
      <w:bookmarkStart w:id="219" w:name="_Toc332874423"/>
      <w:bookmarkStart w:id="220" w:name="_Toc423508247"/>
      <w:bookmarkStart w:id="221" w:name="_Toc283626506"/>
      <w:bookmarkStart w:id="222" w:name="_Toc8347"/>
      <w:bookmarkStart w:id="223" w:name="_Toc283240490"/>
      <w:bookmarkStart w:id="224" w:name="_Toc311415597"/>
      <w:bookmarkStart w:id="225" w:name="_Toc29145"/>
      <w:bookmarkStart w:id="226" w:name="_Toc16177"/>
      <w:r>
        <w:rPr>
          <w:rFonts w:hint="eastAsia" w:ascii="宋体" w:hAnsi="宋体" w:eastAsia="宋体" w:cs="宋体"/>
          <w:b w:val="0"/>
          <w:sz w:val="44"/>
        </w:rPr>
        <w:t>E．磋商/评审</w:t>
      </w:r>
      <w:bookmarkEnd w:id="215"/>
      <w:bookmarkEnd w:id="216"/>
      <w:bookmarkEnd w:id="217"/>
      <w:bookmarkEnd w:id="218"/>
      <w:bookmarkEnd w:id="219"/>
      <w:bookmarkEnd w:id="220"/>
      <w:bookmarkEnd w:id="221"/>
      <w:bookmarkEnd w:id="222"/>
      <w:bookmarkEnd w:id="223"/>
      <w:bookmarkEnd w:id="224"/>
      <w:bookmarkEnd w:id="225"/>
      <w:bookmarkEnd w:id="226"/>
    </w:p>
    <w:p>
      <w:pPr>
        <w:pStyle w:val="2"/>
        <w:overflowPunct w:val="0"/>
        <w:adjustRightInd w:val="0"/>
        <w:snapToGrid w:val="0"/>
        <w:spacing w:before="0" w:after="0" w:line="360" w:lineRule="auto"/>
        <w:rPr>
          <w:rFonts w:ascii="宋体" w:hAnsi="宋体" w:cs="宋体"/>
          <w:sz w:val="24"/>
          <w:szCs w:val="24"/>
        </w:rPr>
      </w:pPr>
      <w:bookmarkStart w:id="227" w:name="_Toc311415598"/>
      <w:bookmarkStart w:id="228" w:name="_Toc423508248"/>
      <w:bookmarkStart w:id="229" w:name="_Toc2593"/>
      <w:bookmarkStart w:id="230" w:name="_Toc20166"/>
      <w:bookmarkStart w:id="231" w:name="_Toc7767"/>
      <w:bookmarkStart w:id="232" w:name="_Toc18032"/>
      <w:bookmarkStart w:id="233" w:name="_Toc449367176"/>
      <w:r>
        <w:rPr>
          <w:rFonts w:hint="eastAsia" w:ascii="宋体" w:hAnsi="宋体" w:cs="宋体"/>
          <w:sz w:val="24"/>
          <w:szCs w:val="24"/>
        </w:rPr>
        <w:t>22．</w:t>
      </w:r>
      <w:bookmarkEnd w:id="227"/>
      <w:bookmarkEnd w:id="228"/>
      <w:r>
        <w:rPr>
          <w:rFonts w:hint="eastAsia" w:ascii="宋体" w:hAnsi="宋体" w:cs="宋体"/>
          <w:sz w:val="24"/>
          <w:szCs w:val="24"/>
        </w:rPr>
        <w:t>磋商</w:t>
      </w:r>
      <w:bookmarkEnd w:id="229"/>
      <w:bookmarkEnd w:id="230"/>
      <w:bookmarkEnd w:id="231"/>
      <w:bookmarkEnd w:id="232"/>
      <w:bookmarkEnd w:id="233"/>
    </w:p>
    <w:p>
      <w:pPr>
        <w:overflowPunct w:val="0"/>
        <w:adjustRightInd w:val="0"/>
        <w:snapToGrid w:val="0"/>
        <w:spacing w:line="360" w:lineRule="auto"/>
        <w:rPr>
          <w:rFonts w:ascii="宋体" w:hAnsi="宋体" w:cs="宋体"/>
          <w:sz w:val="24"/>
        </w:rPr>
      </w:pPr>
      <w:r>
        <w:rPr>
          <w:rFonts w:hint="eastAsia" w:ascii="宋体" w:hAnsi="宋体" w:cs="宋体"/>
          <w:sz w:val="24"/>
        </w:rPr>
        <w:t>22.1 采购人按磋商公告中规定的时间和地点接受供应商递交的响应文件。供应商的法定代表人或其授权的代表签到，并参加磋商会议。</w:t>
      </w:r>
    </w:p>
    <w:p>
      <w:pPr>
        <w:overflowPunct w:val="0"/>
        <w:adjustRightInd w:val="0"/>
        <w:snapToGrid w:val="0"/>
        <w:spacing w:line="360" w:lineRule="auto"/>
        <w:rPr>
          <w:rFonts w:ascii="宋体" w:hAnsi="宋体" w:cs="宋体"/>
          <w:sz w:val="24"/>
        </w:rPr>
      </w:pPr>
      <w:r>
        <w:rPr>
          <w:rFonts w:hint="eastAsia" w:ascii="宋体" w:hAnsi="宋体" w:cs="宋体"/>
          <w:sz w:val="24"/>
        </w:rPr>
        <w:t>22.2磋商时，供应商授权代表查验响应文件密封情况并签字认可。</w:t>
      </w:r>
    </w:p>
    <w:p>
      <w:pPr>
        <w:overflowPunct w:val="0"/>
        <w:adjustRightInd w:val="0"/>
        <w:snapToGrid w:val="0"/>
        <w:spacing w:line="360" w:lineRule="auto"/>
        <w:rPr>
          <w:rFonts w:ascii="宋体" w:hAnsi="宋体" w:cs="宋体"/>
          <w:sz w:val="24"/>
        </w:rPr>
      </w:pPr>
      <w:r>
        <w:rPr>
          <w:rFonts w:hint="eastAsia" w:ascii="宋体" w:hAnsi="宋体" w:cs="宋体"/>
          <w:sz w:val="24"/>
        </w:rPr>
        <w:t>22.3按照《中华人民共和国政府采购法》和《政府采购竞争性磋商采购方式管理暂行办法》的相关规定，由采购人将作磋商价格记录，磋商价格记录包括 “磋商报价表”规定的全部内容。</w:t>
      </w:r>
    </w:p>
    <w:p>
      <w:pPr>
        <w:pStyle w:val="2"/>
        <w:overflowPunct w:val="0"/>
        <w:adjustRightInd w:val="0"/>
        <w:snapToGrid w:val="0"/>
        <w:spacing w:before="0" w:after="0" w:line="360" w:lineRule="auto"/>
        <w:rPr>
          <w:rFonts w:ascii="宋体" w:hAnsi="宋体" w:cs="宋体"/>
          <w:sz w:val="24"/>
          <w:szCs w:val="24"/>
        </w:rPr>
      </w:pPr>
      <w:bookmarkStart w:id="234" w:name="_Toc4463"/>
      <w:bookmarkStart w:id="235" w:name="_Toc23295"/>
      <w:bookmarkStart w:id="236" w:name="_Toc14369"/>
      <w:bookmarkStart w:id="237" w:name="_Toc311415599"/>
      <w:bookmarkStart w:id="238" w:name="_Toc31204"/>
      <w:bookmarkStart w:id="239" w:name="_Toc423508249"/>
      <w:r>
        <w:rPr>
          <w:rFonts w:hint="eastAsia" w:ascii="宋体" w:hAnsi="宋体" w:cs="宋体"/>
          <w:sz w:val="24"/>
          <w:szCs w:val="24"/>
        </w:rPr>
        <w:t>23．磋商小组</w:t>
      </w:r>
      <w:bookmarkEnd w:id="234"/>
      <w:bookmarkEnd w:id="235"/>
      <w:bookmarkEnd w:id="236"/>
      <w:bookmarkEnd w:id="237"/>
      <w:bookmarkEnd w:id="238"/>
      <w:bookmarkEnd w:id="239"/>
      <w:r>
        <w:rPr>
          <w:rFonts w:hint="eastAsia" w:ascii="宋体" w:hAnsi="宋体" w:cs="宋体"/>
          <w:sz w:val="24"/>
          <w:szCs w:val="24"/>
        </w:rPr>
        <w:t xml:space="preserve"> </w:t>
      </w:r>
    </w:p>
    <w:p>
      <w:pPr>
        <w:overflowPunct w:val="0"/>
        <w:adjustRightInd w:val="0"/>
        <w:snapToGrid w:val="0"/>
        <w:spacing w:line="360" w:lineRule="auto"/>
        <w:rPr>
          <w:rFonts w:ascii="宋体" w:hAnsi="宋体" w:cs="宋体"/>
          <w:sz w:val="24"/>
        </w:rPr>
      </w:pPr>
      <w:r>
        <w:rPr>
          <w:rFonts w:hint="eastAsia" w:ascii="宋体" w:hAnsi="宋体" w:cs="宋体"/>
          <w:sz w:val="24"/>
        </w:rPr>
        <w:t>23.1 采购人将根据本次采购项目的特点，按照《中华人民共和国政府采购法》、《政府采购竞争性磋商采购方式管理暂行办法》等有关规定组建磋商小组。</w:t>
      </w:r>
    </w:p>
    <w:p>
      <w:pPr>
        <w:overflowPunct w:val="0"/>
        <w:adjustRightInd w:val="0"/>
        <w:snapToGrid w:val="0"/>
        <w:spacing w:line="360" w:lineRule="auto"/>
        <w:rPr>
          <w:rFonts w:ascii="宋体" w:hAnsi="宋体" w:cs="宋体"/>
          <w:sz w:val="24"/>
        </w:rPr>
      </w:pPr>
      <w:r>
        <w:rPr>
          <w:rFonts w:hint="eastAsia" w:ascii="宋体" w:hAnsi="宋体" w:cs="宋体"/>
          <w:sz w:val="24"/>
        </w:rPr>
        <w:t>23.2 磋商小组成员由采购人及有关技术、经济等方面的专家组成，其中技术、经济类专家人数不少于总人数的2/3。</w:t>
      </w:r>
    </w:p>
    <w:p>
      <w:pPr>
        <w:overflowPunct w:val="0"/>
        <w:adjustRightInd w:val="0"/>
        <w:snapToGrid w:val="0"/>
        <w:spacing w:line="360" w:lineRule="auto"/>
        <w:rPr>
          <w:rFonts w:ascii="宋体" w:hAnsi="宋体" w:cs="宋体"/>
          <w:sz w:val="24"/>
        </w:rPr>
      </w:pPr>
      <w:r>
        <w:rPr>
          <w:rFonts w:hint="eastAsia" w:ascii="宋体" w:hAnsi="宋体" w:cs="宋体"/>
          <w:sz w:val="24"/>
        </w:rPr>
        <w:t>23.3 磋商小组成员对各供应商响应文件进行审查、质疑、评估和比较，并推荐成交候选供应商。</w:t>
      </w:r>
    </w:p>
    <w:p>
      <w:pPr>
        <w:pStyle w:val="2"/>
        <w:overflowPunct w:val="0"/>
        <w:adjustRightInd w:val="0"/>
        <w:snapToGrid w:val="0"/>
        <w:spacing w:before="0" w:after="0" w:line="360" w:lineRule="auto"/>
        <w:rPr>
          <w:rFonts w:ascii="宋体" w:hAnsi="宋体" w:cs="宋体"/>
          <w:sz w:val="24"/>
          <w:szCs w:val="24"/>
        </w:rPr>
      </w:pPr>
      <w:bookmarkStart w:id="240" w:name="_Toc311415601"/>
      <w:bookmarkStart w:id="241" w:name="_Toc13671"/>
      <w:bookmarkStart w:id="242" w:name="_Toc22531"/>
      <w:bookmarkStart w:id="243" w:name="_Toc423508250"/>
      <w:bookmarkStart w:id="244" w:name="_Toc27640"/>
      <w:bookmarkStart w:id="245" w:name="_Toc31322"/>
      <w:r>
        <w:rPr>
          <w:rFonts w:hint="eastAsia" w:ascii="宋体" w:hAnsi="宋体" w:cs="宋体"/>
          <w:sz w:val="24"/>
          <w:szCs w:val="24"/>
        </w:rPr>
        <w:t>24．响应文件的审</w:t>
      </w:r>
      <w:bookmarkEnd w:id="240"/>
      <w:r>
        <w:rPr>
          <w:rFonts w:hint="eastAsia" w:ascii="宋体" w:hAnsi="宋体" w:cs="宋体"/>
          <w:sz w:val="24"/>
          <w:szCs w:val="24"/>
        </w:rPr>
        <w:t>核</w:t>
      </w:r>
      <w:bookmarkEnd w:id="241"/>
      <w:bookmarkEnd w:id="242"/>
      <w:bookmarkEnd w:id="243"/>
      <w:bookmarkEnd w:id="244"/>
      <w:bookmarkEnd w:id="245"/>
    </w:p>
    <w:p>
      <w:pPr>
        <w:overflowPunct w:val="0"/>
        <w:adjustRightInd w:val="0"/>
        <w:snapToGrid w:val="0"/>
        <w:spacing w:line="360" w:lineRule="auto"/>
        <w:rPr>
          <w:rFonts w:ascii="宋体" w:hAnsi="宋体" w:cs="宋体"/>
          <w:sz w:val="24"/>
        </w:rPr>
      </w:pPr>
      <w:r>
        <w:rPr>
          <w:rFonts w:hint="eastAsia" w:ascii="宋体" w:hAnsi="宋体" w:cs="宋体"/>
          <w:sz w:val="24"/>
        </w:rPr>
        <w:t>24.1响应文件的资格性审查：依据法律法规和磋商文件的规定，采购人对响应文件中的资格证明文件和磋商保证金进行审查，以确保供应商是否具备相应资格。</w:t>
      </w:r>
    </w:p>
    <w:p>
      <w:pPr>
        <w:tabs>
          <w:tab w:val="left" w:pos="1155"/>
        </w:tabs>
        <w:spacing w:line="360" w:lineRule="auto"/>
        <w:rPr>
          <w:rFonts w:ascii="宋体" w:hAnsi="宋体" w:cs="宋体"/>
          <w:sz w:val="24"/>
        </w:rPr>
      </w:pPr>
      <w:r>
        <w:rPr>
          <w:rFonts w:hint="eastAsia" w:ascii="宋体" w:hAnsi="宋体" w:cs="宋体"/>
          <w:sz w:val="24"/>
        </w:rPr>
        <w:t>24.2响应文件符合性审查：依据磋商文件的规定，对磋商文件的响应程度进行审查。其内容包括以下部分：</w:t>
      </w:r>
    </w:p>
    <w:p>
      <w:pPr>
        <w:tabs>
          <w:tab w:val="left" w:pos="1155"/>
        </w:tabs>
        <w:spacing w:line="360" w:lineRule="auto"/>
        <w:rPr>
          <w:rFonts w:ascii="宋体" w:hAnsi="宋体" w:cs="宋体"/>
          <w:color w:val="FF0000"/>
          <w:sz w:val="24"/>
        </w:rPr>
      </w:pPr>
      <w:r>
        <w:rPr>
          <w:rFonts w:hint="eastAsia" w:ascii="宋体" w:hAnsi="宋体" w:cs="宋体"/>
          <w:sz w:val="24"/>
        </w:rPr>
        <w:t>24.2.</w:t>
      </w:r>
      <w:r>
        <w:rPr>
          <w:rFonts w:ascii="宋体" w:hAnsi="宋体" w:cs="宋体"/>
          <w:sz w:val="24"/>
        </w:rPr>
        <w:t>1</w:t>
      </w:r>
      <w:r>
        <w:rPr>
          <w:rFonts w:hint="eastAsia" w:ascii="宋体" w:hAnsi="宋体" w:cs="宋体"/>
          <w:sz w:val="24"/>
        </w:rPr>
        <w:t>响应文件里磋商响应函、磋商报价表、法定代表人授权委托书的签字盖章是否合格。</w:t>
      </w:r>
    </w:p>
    <w:p>
      <w:pPr>
        <w:overflowPunct w:val="0"/>
        <w:adjustRightInd w:val="0"/>
        <w:snapToGrid w:val="0"/>
        <w:spacing w:line="360" w:lineRule="auto"/>
        <w:rPr>
          <w:rFonts w:ascii="宋体" w:hAnsi="宋体" w:cs="宋体"/>
          <w:sz w:val="24"/>
        </w:rPr>
      </w:pPr>
      <w:r>
        <w:rPr>
          <w:rFonts w:hint="eastAsia" w:ascii="宋体" w:hAnsi="宋体" w:cs="宋体"/>
          <w:sz w:val="24"/>
        </w:rPr>
        <w:t>24.3经过对供应商及响应文件的资格性、符合性审查，出现下列情况者（但不限于），按无效处理。</w:t>
      </w:r>
    </w:p>
    <w:p>
      <w:pPr>
        <w:overflowPunct w:val="0"/>
        <w:adjustRightInd w:val="0"/>
        <w:snapToGrid w:val="0"/>
        <w:spacing w:line="360" w:lineRule="auto"/>
        <w:rPr>
          <w:rFonts w:ascii="宋体" w:hAnsi="宋体" w:cs="宋体"/>
          <w:sz w:val="24"/>
        </w:rPr>
      </w:pPr>
      <w:r>
        <w:rPr>
          <w:rFonts w:hint="eastAsia" w:ascii="宋体" w:hAnsi="宋体" w:cs="宋体"/>
          <w:sz w:val="24"/>
        </w:rPr>
        <w:t>24.3.1供应商没有经过正常渠道购买磋商文件或供应商的名称与登记购买磋商文件供应商的名称不符；</w:t>
      </w:r>
    </w:p>
    <w:p>
      <w:pPr>
        <w:overflowPunct w:val="0"/>
        <w:adjustRightInd w:val="0"/>
        <w:snapToGrid w:val="0"/>
        <w:spacing w:line="360" w:lineRule="auto"/>
        <w:rPr>
          <w:rFonts w:ascii="宋体" w:hAnsi="宋体" w:cs="宋体"/>
          <w:sz w:val="24"/>
        </w:rPr>
      </w:pPr>
      <w:r>
        <w:rPr>
          <w:rFonts w:hint="eastAsia" w:ascii="宋体" w:hAnsi="宋体" w:cs="宋体"/>
          <w:sz w:val="24"/>
        </w:rPr>
        <w:t>24.3.2响应文件没有法定代表人授权书（法人直接参加除外）或授权书的合法性或有效性不符合磋商文件规定；</w:t>
      </w:r>
    </w:p>
    <w:p>
      <w:pPr>
        <w:overflowPunct w:val="0"/>
        <w:adjustRightInd w:val="0"/>
        <w:snapToGrid w:val="0"/>
        <w:spacing w:line="360" w:lineRule="auto"/>
        <w:rPr>
          <w:rFonts w:ascii="宋体" w:hAnsi="宋体" w:cs="宋体"/>
          <w:sz w:val="24"/>
        </w:rPr>
      </w:pPr>
      <w:r>
        <w:rPr>
          <w:rFonts w:hint="eastAsia" w:ascii="宋体" w:hAnsi="宋体" w:cs="宋体"/>
          <w:sz w:val="24"/>
        </w:rPr>
        <w:t>243.3供应商资质的有效性或符合性不符合要求的；</w:t>
      </w:r>
    </w:p>
    <w:p>
      <w:pPr>
        <w:overflowPunct w:val="0"/>
        <w:adjustRightInd w:val="0"/>
        <w:snapToGrid w:val="0"/>
        <w:spacing w:line="360" w:lineRule="auto"/>
        <w:rPr>
          <w:rFonts w:ascii="宋体" w:hAnsi="宋体" w:cs="宋体"/>
          <w:sz w:val="24"/>
        </w:rPr>
      </w:pPr>
      <w:r>
        <w:rPr>
          <w:rFonts w:hint="eastAsia" w:ascii="宋体" w:hAnsi="宋体" w:cs="宋体"/>
          <w:sz w:val="24"/>
        </w:rPr>
        <w:t>24.3.4由供应商授权代表签字的,但未随响应文件一起提交有效的“授权委托书”原件的；</w:t>
      </w:r>
    </w:p>
    <w:p>
      <w:pPr>
        <w:overflowPunct w:val="0"/>
        <w:adjustRightInd w:val="0"/>
        <w:snapToGrid w:val="0"/>
        <w:spacing w:line="360" w:lineRule="auto"/>
        <w:rPr>
          <w:rFonts w:ascii="宋体" w:hAnsi="宋体" w:cs="宋体"/>
          <w:sz w:val="24"/>
        </w:rPr>
      </w:pPr>
      <w:r>
        <w:rPr>
          <w:rFonts w:hint="eastAsia" w:ascii="宋体" w:hAnsi="宋体" w:cs="宋体"/>
          <w:sz w:val="24"/>
        </w:rPr>
        <w:t>24.3.5磋商有效期不足的；</w:t>
      </w:r>
    </w:p>
    <w:p>
      <w:pPr>
        <w:overflowPunct w:val="0"/>
        <w:adjustRightInd w:val="0"/>
        <w:snapToGrid w:val="0"/>
        <w:spacing w:line="360" w:lineRule="auto"/>
        <w:rPr>
          <w:rFonts w:ascii="宋体" w:hAnsi="宋体" w:cs="宋体"/>
          <w:sz w:val="24"/>
        </w:rPr>
      </w:pPr>
      <w:r>
        <w:rPr>
          <w:rFonts w:hint="eastAsia" w:ascii="宋体" w:hAnsi="宋体" w:cs="宋体"/>
          <w:sz w:val="24"/>
        </w:rPr>
        <w:t>24.3.6出现重大负偏差；</w:t>
      </w:r>
    </w:p>
    <w:p>
      <w:pPr>
        <w:overflowPunct w:val="0"/>
        <w:adjustRightInd w:val="0"/>
        <w:snapToGrid w:val="0"/>
        <w:spacing w:line="360" w:lineRule="auto"/>
        <w:rPr>
          <w:rFonts w:ascii="宋体" w:hAnsi="宋体" w:cs="宋体"/>
          <w:sz w:val="24"/>
        </w:rPr>
      </w:pPr>
      <w:r>
        <w:rPr>
          <w:rFonts w:hint="eastAsia" w:ascii="宋体" w:hAnsi="宋体" w:cs="宋体"/>
          <w:sz w:val="24"/>
        </w:rPr>
        <w:t>24.3.7响应文件的合同主要条款响应与磋商文件要求不一致（付款、验收等项），附加了采购人难以接受的条件；</w:t>
      </w:r>
    </w:p>
    <w:p>
      <w:pPr>
        <w:overflowPunct w:val="0"/>
        <w:adjustRightInd w:val="0"/>
        <w:snapToGrid w:val="0"/>
        <w:spacing w:line="360" w:lineRule="auto"/>
        <w:rPr>
          <w:rFonts w:ascii="宋体" w:hAnsi="宋体" w:cs="宋体"/>
          <w:sz w:val="24"/>
        </w:rPr>
      </w:pPr>
      <w:r>
        <w:rPr>
          <w:rFonts w:hint="eastAsia" w:ascii="宋体" w:hAnsi="宋体" w:cs="宋体"/>
          <w:sz w:val="24"/>
        </w:rPr>
        <w:t>24.3.8规定不接受选择方案和选择报价（包括交叉折扣）的，供应商提供了选择方案和/或选择报价（包括交叉折扣）；</w:t>
      </w:r>
    </w:p>
    <w:p>
      <w:pPr>
        <w:overflowPunct w:val="0"/>
        <w:adjustRightInd w:val="0"/>
        <w:snapToGrid w:val="0"/>
        <w:spacing w:line="360" w:lineRule="auto"/>
        <w:rPr>
          <w:rFonts w:ascii="宋体" w:hAnsi="宋体" w:cs="宋体"/>
          <w:sz w:val="24"/>
        </w:rPr>
      </w:pPr>
      <w:r>
        <w:rPr>
          <w:rFonts w:hint="eastAsia" w:ascii="宋体" w:hAnsi="宋体" w:cs="宋体"/>
          <w:sz w:val="24"/>
        </w:rPr>
        <w:t>24.3.9磋商报价超出采购预算的；</w:t>
      </w:r>
    </w:p>
    <w:p>
      <w:pPr>
        <w:overflowPunct w:val="0"/>
        <w:adjustRightInd w:val="0"/>
        <w:snapToGrid w:val="0"/>
        <w:spacing w:line="360" w:lineRule="auto"/>
        <w:rPr>
          <w:rFonts w:ascii="宋体" w:hAnsi="宋体" w:cs="宋体"/>
          <w:sz w:val="24"/>
        </w:rPr>
      </w:pPr>
      <w:r>
        <w:rPr>
          <w:rFonts w:hint="eastAsia" w:ascii="宋体" w:hAnsi="宋体" w:cs="宋体"/>
          <w:sz w:val="24"/>
        </w:rPr>
        <w:t>24.3.10提供虚假证明，开具虚假资质，出现虚假应答，除按无效标处理外，还进行相应的处罚；</w:t>
      </w:r>
    </w:p>
    <w:p>
      <w:pPr>
        <w:pStyle w:val="26"/>
        <w:spacing w:line="360" w:lineRule="auto"/>
        <w:rPr>
          <w:rFonts w:ascii="宋体" w:hAnsi="宋体" w:cs="宋体"/>
        </w:rPr>
      </w:pPr>
      <w:r>
        <w:rPr>
          <w:rFonts w:hint="eastAsia" w:ascii="宋体" w:hAnsi="宋体" w:cs="宋体"/>
          <w:sz w:val="24"/>
        </w:rPr>
        <w:t>24.3.11 磋商保证金未按磋商文件要求缴纳。</w:t>
      </w:r>
    </w:p>
    <w:p>
      <w:pPr>
        <w:pStyle w:val="2"/>
        <w:overflowPunct w:val="0"/>
        <w:adjustRightInd w:val="0"/>
        <w:snapToGrid w:val="0"/>
        <w:spacing w:before="0" w:after="0" w:line="360" w:lineRule="auto"/>
        <w:rPr>
          <w:rFonts w:ascii="宋体" w:hAnsi="宋体" w:cs="宋体"/>
          <w:sz w:val="24"/>
          <w:szCs w:val="24"/>
        </w:rPr>
      </w:pPr>
      <w:bookmarkStart w:id="246" w:name="_Toc10009"/>
      <w:bookmarkStart w:id="247" w:name="_Toc1382"/>
      <w:bookmarkStart w:id="248" w:name="_Toc29299"/>
      <w:bookmarkStart w:id="249" w:name="_Toc423508251"/>
      <w:bookmarkStart w:id="250" w:name="_Toc311415600"/>
      <w:bookmarkStart w:id="251" w:name="_Toc12646"/>
      <w:r>
        <w:rPr>
          <w:rFonts w:hint="eastAsia" w:ascii="宋体" w:hAnsi="宋体" w:cs="宋体"/>
          <w:sz w:val="24"/>
          <w:szCs w:val="24"/>
        </w:rPr>
        <w:t>25．响应文件的澄清</w:t>
      </w:r>
      <w:bookmarkEnd w:id="246"/>
      <w:bookmarkEnd w:id="247"/>
      <w:bookmarkEnd w:id="248"/>
      <w:bookmarkEnd w:id="249"/>
      <w:bookmarkEnd w:id="250"/>
      <w:bookmarkEnd w:id="251"/>
    </w:p>
    <w:p>
      <w:pPr>
        <w:overflowPunct w:val="0"/>
        <w:adjustRightInd w:val="0"/>
        <w:snapToGrid w:val="0"/>
        <w:spacing w:line="360" w:lineRule="auto"/>
        <w:rPr>
          <w:rFonts w:ascii="宋体" w:hAnsi="宋体" w:cs="宋体"/>
          <w:sz w:val="24"/>
        </w:rPr>
      </w:pPr>
      <w:r>
        <w:rPr>
          <w:rFonts w:hint="eastAsia" w:ascii="宋体" w:hAnsi="宋体" w:cs="宋体"/>
          <w:sz w:val="24"/>
        </w:rPr>
        <w:t>25.1 在评审期间, 磋商小组在对响应文件的有效性、完整性和响应程度进行审查时，可以要求供应商对响应文件中含义不明确、同类问题表述不一致或者有明显文字和计算错误的内容等作出必要的澄清、说明或者更正。</w:t>
      </w:r>
    </w:p>
    <w:p>
      <w:pPr>
        <w:overflowPunct w:val="0"/>
        <w:adjustRightInd w:val="0"/>
        <w:snapToGrid w:val="0"/>
        <w:spacing w:line="360" w:lineRule="auto"/>
        <w:rPr>
          <w:rFonts w:ascii="宋体" w:hAnsi="宋体" w:cs="宋体"/>
          <w:sz w:val="24"/>
        </w:rPr>
      </w:pPr>
      <w:r>
        <w:rPr>
          <w:rFonts w:hint="eastAsia" w:ascii="宋体" w:hAnsi="宋体" w:cs="宋体"/>
          <w:sz w:val="24"/>
        </w:rPr>
        <w:t>25.2供应商应采用书面形式进行澄清或说明，但不得超出响应文件的范围或改变响应文件的实质性内容。供应商的澄清、说明或者更正应当由法定代表人或其授权代表签字。</w:t>
      </w:r>
    </w:p>
    <w:p>
      <w:pPr>
        <w:pStyle w:val="2"/>
        <w:overflowPunct w:val="0"/>
        <w:adjustRightInd w:val="0"/>
        <w:snapToGrid w:val="0"/>
        <w:spacing w:before="0" w:after="0" w:line="360" w:lineRule="auto"/>
        <w:rPr>
          <w:rFonts w:ascii="宋体" w:hAnsi="宋体" w:cs="宋体"/>
          <w:sz w:val="24"/>
          <w:szCs w:val="24"/>
        </w:rPr>
      </w:pPr>
      <w:bookmarkStart w:id="252" w:name="_Toc26971"/>
      <w:bookmarkStart w:id="253" w:name="_Toc21098"/>
      <w:bookmarkStart w:id="254" w:name="_Toc9839"/>
      <w:bookmarkStart w:id="255" w:name="_Toc31011"/>
      <w:bookmarkStart w:id="256" w:name="_Toc423508252"/>
      <w:r>
        <w:rPr>
          <w:rFonts w:hint="eastAsia" w:ascii="宋体" w:hAnsi="宋体" w:cs="宋体"/>
          <w:sz w:val="24"/>
          <w:szCs w:val="24"/>
        </w:rPr>
        <w:t>26．响应文件的比较和评价</w:t>
      </w:r>
      <w:bookmarkEnd w:id="252"/>
      <w:bookmarkEnd w:id="253"/>
      <w:bookmarkEnd w:id="254"/>
      <w:bookmarkEnd w:id="255"/>
      <w:bookmarkEnd w:id="256"/>
    </w:p>
    <w:p>
      <w:pPr>
        <w:spacing w:line="360" w:lineRule="auto"/>
        <w:rPr>
          <w:rFonts w:ascii="宋体" w:hAnsi="宋体" w:cs="宋体"/>
          <w:sz w:val="24"/>
        </w:rPr>
      </w:pPr>
      <w:r>
        <w:rPr>
          <w:rFonts w:hint="eastAsia" w:ascii="宋体" w:hAnsi="宋体" w:cs="宋体"/>
          <w:sz w:val="24"/>
        </w:rPr>
        <w:t>26.1磋商小组在评审过程中，发现响应文件出现下列情况之一者，按以下原则修正：</w:t>
      </w:r>
    </w:p>
    <w:p>
      <w:pPr>
        <w:overflowPunct w:val="0"/>
        <w:adjustRightInd w:val="0"/>
        <w:snapToGrid w:val="0"/>
        <w:spacing w:line="360" w:lineRule="auto"/>
        <w:rPr>
          <w:rFonts w:ascii="宋体" w:hAnsi="宋体" w:cs="宋体"/>
          <w:sz w:val="24"/>
        </w:rPr>
      </w:pPr>
      <w:r>
        <w:rPr>
          <w:rFonts w:hint="eastAsia" w:ascii="宋体" w:hAnsi="宋体" w:cs="宋体"/>
          <w:sz w:val="24"/>
        </w:rPr>
        <w:t>26.1.1磋商报价表内容与响应文件中报价内容不一致的，以磋商报价表为准；</w:t>
      </w:r>
    </w:p>
    <w:p>
      <w:pPr>
        <w:overflowPunct w:val="0"/>
        <w:adjustRightInd w:val="0"/>
        <w:snapToGrid w:val="0"/>
        <w:spacing w:line="360" w:lineRule="auto"/>
        <w:rPr>
          <w:rFonts w:ascii="宋体" w:hAnsi="宋体" w:cs="宋体"/>
          <w:sz w:val="24"/>
        </w:rPr>
      </w:pPr>
      <w:r>
        <w:rPr>
          <w:rFonts w:hint="eastAsia" w:ascii="宋体" w:hAnsi="宋体" w:cs="宋体"/>
          <w:sz w:val="24"/>
        </w:rPr>
        <w:t>26.1.2大写金额和小写金额不一致的，以大写金额为准；</w:t>
      </w:r>
    </w:p>
    <w:p>
      <w:pPr>
        <w:overflowPunct w:val="0"/>
        <w:adjustRightInd w:val="0"/>
        <w:snapToGrid w:val="0"/>
        <w:spacing w:line="360" w:lineRule="auto"/>
        <w:rPr>
          <w:rFonts w:ascii="宋体" w:hAnsi="宋体" w:cs="宋体"/>
          <w:sz w:val="24"/>
        </w:rPr>
      </w:pPr>
      <w:r>
        <w:rPr>
          <w:rFonts w:hint="eastAsia" w:ascii="宋体" w:hAnsi="宋体" w:cs="宋体"/>
          <w:sz w:val="24"/>
        </w:rPr>
        <w:t>26.1.3如果以单价计算的结果与总价不一致，则以单价为准修改总价；单价金额小数点有明显错位的，应以总价为准，并修改单价；</w:t>
      </w:r>
    </w:p>
    <w:p>
      <w:pPr>
        <w:overflowPunct w:val="0"/>
        <w:adjustRightInd w:val="0"/>
        <w:snapToGrid w:val="0"/>
        <w:spacing w:line="360" w:lineRule="auto"/>
        <w:rPr>
          <w:rFonts w:ascii="宋体" w:hAnsi="宋体" w:cs="宋体"/>
          <w:sz w:val="24"/>
        </w:rPr>
      </w:pPr>
      <w:r>
        <w:rPr>
          <w:rFonts w:hint="eastAsia" w:ascii="宋体" w:hAnsi="宋体" w:cs="宋体"/>
          <w:sz w:val="24"/>
        </w:rPr>
        <w:t>26.1.4如果用文字表示的数值与用数字表示的数值不一致，以文字表示的值为准。</w:t>
      </w:r>
    </w:p>
    <w:p>
      <w:pPr>
        <w:overflowPunct w:val="0"/>
        <w:adjustRightInd w:val="0"/>
        <w:snapToGrid w:val="0"/>
        <w:spacing w:line="360" w:lineRule="auto"/>
        <w:rPr>
          <w:rFonts w:ascii="宋体" w:hAnsi="宋体" w:cs="宋体"/>
          <w:sz w:val="24"/>
        </w:rPr>
      </w:pPr>
      <w:r>
        <w:rPr>
          <w:rFonts w:hint="eastAsia" w:ascii="宋体" w:hAnsi="宋体" w:cs="宋体"/>
          <w:sz w:val="24"/>
        </w:rPr>
        <w:t>26.1.5对不同文字文本响应文件的解释发生异议的，以中文文本为准；</w:t>
      </w:r>
    </w:p>
    <w:p>
      <w:pPr>
        <w:overflowPunct w:val="0"/>
        <w:adjustRightInd w:val="0"/>
        <w:snapToGrid w:val="0"/>
        <w:spacing w:line="360" w:lineRule="auto"/>
        <w:rPr>
          <w:rFonts w:ascii="宋体" w:hAnsi="宋体" w:cs="宋体"/>
          <w:sz w:val="24"/>
        </w:rPr>
      </w:pPr>
      <w:r>
        <w:rPr>
          <w:rFonts w:hint="eastAsia" w:ascii="宋体" w:hAnsi="宋体" w:cs="宋体"/>
          <w:sz w:val="24"/>
        </w:rPr>
        <w:t>26.1.6正本与副本不一致的，以正本为准。</w:t>
      </w:r>
    </w:p>
    <w:p>
      <w:pPr>
        <w:overflowPunct w:val="0"/>
        <w:adjustRightInd w:val="0"/>
        <w:snapToGrid w:val="0"/>
        <w:spacing w:line="360" w:lineRule="auto"/>
        <w:rPr>
          <w:rFonts w:ascii="宋体" w:hAnsi="宋体" w:cs="宋体"/>
          <w:sz w:val="24"/>
        </w:rPr>
      </w:pPr>
      <w:r>
        <w:rPr>
          <w:rFonts w:hint="eastAsia" w:ascii="宋体" w:hAnsi="宋体" w:cs="宋体"/>
          <w:sz w:val="24"/>
        </w:rPr>
        <w:t>26.2如果磋商实质上没有响应磋商文件的要求，其磋商将被拒绝，供应商不得通过修正或撤消不合要求的偏离或保留从而使其磋商成为实质上响应的磋商。</w:t>
      </w:r>
    </w:p>
    <w:p>
      <w:pPr>
        <w:overflowPunct w:val="0"/>
        <w:adjustRightInd w:val="0"/>
        <w:snapToGrid w:val="0"/>
        <w:spacing w:line="360" w:lineRule="auto"/>
        <w:rPr>
          <w:rFonts w:ascii="宋体" w:hAnsi="宋体" w:cs="宋体"/>
          <w:sz w:val="24"/>
        </w:rPr>
      </w:pPr>
      <w:r>
        <w:rPr>
          <w:rFonts w:hint="eastAsia" w:ascii="宋体" w:hAnsi="宋体" w:cs="宋体"/>
          <w:sz w:val="24"/>
        </w:rPr>
        <w:t>26.3评审程序：采取逐项分步评审方式，每一步评审不符合者，不进入下一步评审，先进行资格性审查，再进行符合性审查。</w:t>
      </w:r>
    </w:p>
    <w:p>
      <w:pPr>
        <w:overflowPunct w:val="0"/>
        <w:adjustRightInd w:val="0"/>
        <w:snapToGrid w:val="0"/>
        <w:spacing w:line="360" w:lineRule="auto"/>
        <w:rPr>
          <w:rFonts w:ascii="宋体" w:hAnsi="宋体" w:cs="宋体"/>
          <w:sz w:val="24"/>
        </w:rPr>
      </w:pPr>
      <w:r>
        <w:rPr>
          <w:rFonts w:hint="eastAsia" w:ascii="宋体" w:hAnsi="宋体" w:cs="宋体"/>
          <w:sz w:val="24"/>
        </w:rPr>
        <w:t>26.4磋商小组所有成员对上述审查合格的单一供应商分别进行磋商，并给予参加磋商的供应商平等的磋商机会。磋商过程中所有磋商报价现场不对供应商公开宣读。</w:t>
      </w:r>
    </w:p>
    <w:p>
      <w:pPr>
        <w:overflowPunct w:val="0"/>
        <w:adjustRightInd w:val="0"/>
        <w:snapToGrid w:val="0"/>
        <w:spacing w:line="360" w:lineRule="auto"/>
        <w:rPr>
          <w:rFonts w:ascii="宋体" w:hAnsi="宋体" w:cs="宋体"/>
          <w:sz w:val="24"/>
        </w:rPr>
      </w:pPr>
      <w:r>
        <w:rPr>
          <w:rFonts w:hint="eastAsia" w:ascii="宋体" w:hAnsi="宋体" w:cs="宋体"/>
          <w:sz w:val="24"/>
        </w:rPr>
        <w:t>26.5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供应商应当按照磋商文件的变动情况和磋商小组的要求重新提交响应文件，并由其法定代表人或授权代表签字或者加盖公章。</w:t>
      </w:r>
    </w:p>
    <w:p>
      <w:pPr>
        <w:overflowPunct w:val="0"/>
        <w:adjustRightInd w:val="0"/>
        <w:snapToGrid w:val="0"/>
        <w:spacing w:line="360" w:lineRule="auto"/>
        <w:rPr>
          <w:rFonts w:ascii="宋体" w:hAnsi="宋体" w:cs="宋体"/>
          <w:sz w:val="24"/>
        </w:rPr>
      </w:pPr>
      <w:r>
        <w:rPr>
          <w:rFonts w:hint="eastAsia" w:ascii="宋体" w:hAnsi="宋体" w:cs="宋体"/>
          <w:sz w:val="24"/>
        </w:rPr>
        <w:t>26.6磋商文件能够详细列明采购标的的技术、服务要求的，磋商结束后，磋商小组应当要求所有实质性响应的供应商在规定时间内提交最后报价。</w:t>
      </w:r>
    </w:p>
    <w:p>
      <w:pPr>
        <w:snapToGrid w:val="0"/>
        <w:spacing w:line="360" w:lineRule="auto"/>
        <w:rPr>
          <w:rFonts w:ascii="宋体" w:hAnsi="宋体" w:cs="宋体"/>
          <w:sz w:val="24"/>
        </w:rPr>
      </w:pPr>
      <w:r>
        <w:rPr>
          <w:rFonts w:hint="eastAsia" w:ascii="宋体" w:hAnsi="宋体" w:cs="宋体"/>
          <w:sz w:val="24"/>
        </w:rPr>
        <w:t>26.7磋商小组认为供应商的最后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标处理。</w:t>
      </w:r>
    </w:p>
    <w:p>
      <w:pPr>
        <w:snapToGrid w:val="0"/>
        <w:spacing w:line="360" w:lineRule="auto"/>
        <w:rPr>
          <w:rFonts w:ascii="宋体" w:hAnsi="宋体" w:cs="宋体"/>
          <w:sz w:val="24"/>
        </w:rPr>
      </w:pPr>
      <w:r>
        <w:rPr>
          <w:rFonts w:hint="eastAsia" w:ascii="宋体" w:hAnsi="宋体" w:cs="宋体"/>
          <w:sz w:val="24"/>
        </w:rPr>
        <w:t>26.8经磋商确定最终采购需求和提交最后报价的供应商后，由磋商小组采用综合评分法对提交最后报价的供应商的响应文件和最后报价进行综合评分。</w:t>
      </w:r>
    </w:p>
    <w:p>
      <w:pPr>
        <w:pStyle w:val="2"/>
        <w:overflowPunct w:val="0"/>
        <w:adjustRightInd w:val="0"/>
        <w:snapToGrid w:val="0"/>
        <w:spacing w:before="0" w:after="0" w:line="360" w:lineRule="auto"/>
        <w:rPr>
          <w:rFonts w:ascii="宋体" w:hAnsi="宋体" w:cs="宋体"/>
          <w:sz w:val="24"/>
          <w:szCs w:val="24"/>
        </w:rPr>
      </w:pPr>
      <w:bookmarkStart w:id="257" w:name="_Toc9858"/>
      <w:bookmarkStart w:id="258" w:name="_Toc8850"/>
      <w:bookmarkStart w:id="259" w:name="_Toc311415604"/>
      <w:bookmarkStart w:id="260" w:name="_Toc423508253"/>
      <w:bookmarkStart w:id="261" w:name="_Toc22310"/>
      <w:bookmarkStart w:id="262" w:name="_Toc5341"/>
      <w:r>
        <w:rPr>
          <w:rFonts w:hint="eastAsia" w:ascii="宋体" w:hAnsi="宋体" w:cs="宋体"/>
          <w:sz w:val="24"/>
          <w:szCs w:val="24"/>
        </w:rPr>
        <w:t>27．评审原则及主要方法</w:t>
      </w:r>
      <w:bookmarkEnd w:id="257"/>
      <w:bookmarkEnd w:id="258"/>
      <w:bookmarkEnd w:id="259"/>
      <w:bookmarkEnd w:id="260"/>
      <w:bookmarkEnd w:id="261"/>
      <w:bookmarkEnd w:id="262"/>
    </w:p>
    <w:p>
      <w:pPr>
        <w:overflowPunct w:val="0"/>
        <w:adjustRightInd w:val="0"/>
        <w:snapToGrid w:val="0"/>
        <w:spacing w:line="360" w:lineRule="auto"/>
        <w:rPr>
          <w:rFonts w:ascii="宋体" w:hAnsi="宋体" w:cs="宋体"/>
          <w:sz w:val="24"/>
        </w:rPr>
      </w:pPr>
      <w:r>
        <w:rPr>
          <w:rFonts w:hint="eastAsia" w:ascii="宋体" w:hAnsi="宋体" w:cs="宋体"/>
          <w:sz w:val="24"/>
        </w:rPr>
        <w:t>27.1 磋商小组将遵循公平、公正和择优的原则，对所有提交最后报价的供应商的响应文件评审，都采用相同的程序和标准。</w:t>
      </w:r>
    </w:p>
    <w:p>
      <w:pPr>
        <w:overflowPunct w:val="0"/>
        <w:adjustRightInd w:val="0"/>
        <w:snapToGrid w:val="0"/>
        <w:spacing w:line="360" w:lineRule="auto"/>
        <w:rPr>
          <w:rFonts w:ascii="宋体" w:hAnsi="宋体" w:cs="宋体"/>
          <w:sz w:val="24"/>
        </w:rPr>
      </w:pPr>
      <w:r>
        <w:rPr>
          <w:rFonts w:hint="eastAsia" w:ascii="宋体" w:hAnsi="宋体" w:cs="宋体"/>
          <w:sz w:val="24"/>
        </w:rPr>
        <w:t>27.2 评审过程的保密：在响应文件的评审、比较、成交候选供应商推荐以及授予合同的过程中，供应商向采购人和磋商小组施加影响的任何行为，都将会导致其报价被拒绝。</w:t>
      </w:r>
    </w:p>
    <w:p>
      <w:pPr>
        <w:overflowPunct w:val="0"/>
        <w:adjustRightInd w:val="0"/>
        <w:snapToGrid w:val="0"/>
        <w:spacing w:line="360" w:lineRule="auto"/>
        <w:rPr>
          <w:rFonts w:ascii="宋体" w:hAnsi="宋体" w:cs="宋体"/>
          <w:sz w:val="24"/>
        </w:rPr>
      </w:pPr>
      <w:r>
        <w:rPr>
          <w:rFonts w:hint="eastAsia" w:ascii="宋体" w:hAnsi="宋体" w:cs="宋体"/>
          <w:sz w:val="24"/>
        </w:rPr>
        <w:t>27.3评审办法：综合评分法，是指响应文件满足磋商文件全部实质性要求且按评审因素的量化指标评审得分最高的供应商为成交候选供应商的评审方法，本项目磋商小组根据量化指标评审得分由高到底推荐成交候选单位。</w:t>
      </w:r>
    </w:p>
    <w:p>
      <w:pPr>
        <w:tabs>
          <w:tab w:val="left" w:pos="1800"/>
        </w:tabs>
        <w:overflowPunct w:val="0"/>
        <w:adjustRightInd w:val="0"/>
        <w:snapToGrid w:val="0"/>
        <w:spacing w:line="360" w:lineRule="auto"/>
        <w:jc w:val="center"/>
        <w:rPr>
          <w:rFonts w:ascii="宋体" w:hAnsi="宋体" w:cs="宋体"/>
          <w:b/>
          <w:bCs/>
          <w:sz w:val="30"/>
          <w:szCs w:val="30"/>
        </w:rPr>
      </w:pPr>
    </w:p>
    <w:p>
      <w:pPr>
        <w:tabs>
          <w:tab w:val="left" w:pos="1800"/>
        </w:tabs>
        <w:overflowPunct w:val="0"/>
        <w:adjustRightInd w:val="0"/>
        <w:snapToGrid w:val="0"/>
        <w:spacing w:line="360" w:lineRule="auto"/>
        <w:jc w:val="center"/>
        <w:rPr>
          <w:rFonts w:ascii="宋体" w:hAnsi="宋体" w:cs="宋体"/>
          <w:bCs/>
          <w:sz w:val="30"/>
          <w:szCs w:val="30"/>
        </w:rPr>
      </w:pPr>
      <w:r>
        <w:rPr>
          <w:rFonts w:hint="eastAsia" w:ascii="宋体" w:hAnsi="宋体" w:cs="宋体"/>
          <w:b/>
          <w:bCs/>
          <w:sz w:val="30"/>
          <w:szCs w:val="30"/>
        </w:rPr>
        <w:t>评分标准</w:t>
      </w:r>
    </w:p>
    <w:p>
      <w:pPr>
        <w:overflowPunct w:val="0"/>
        <w:adjustRightInd w:val="0"/>
        <w:snapToGrid w:val="0"/>
        <w:spacing w:line="360" w:lineRule="auto"/>
        <w:rPr>
          <w:rFonts w:hint="eastAsia" w:ascii="宋体" w:hAnsi="宋体" w:cs="宋体"/>
          <w:sz w:val="24"/>
        </w:rPr>
      </w:pPr>
      <w:bookmarkStart w:id="263" w:name="_Toc410389005"/>
      <w:bookmarkStart w:id="264" w:name="_Toc311415605"/>
      <w:bookmarkStart w:id="265" w:name="_Toc423508254"/>
    </w:p>
    <w:tbl>
      <w:tblPr>
        <w:tblStyle w:val="42"/>
        <w:tblW w:w="10064" w:type="dxa"/>
        <w:tblInd w:w="-10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4" w:hRule="atLeast"/>
        </w:trPr>
        <w:tc>
          <w:tcPr>
            <w:tcW w:w="1712" w:type="dxa"/>
            <w:noWrap w:val="0"/>
            <w:vAlign w:val="center"/>
          </w:tcPr>
          <w:p>
            <w:pPr>
              <w:spacing w:line="500" w:lineRule="exact"/>
              <w:jc w:val="center"/>
              <w:rPr>
                <w:rFonts w:ascii="宋体" w:hAnsi="宋体"/>
                <w:b/>
                <w:bCs/>
                <w:sz w:val="21"/>
                <w:szCs w:val="21"/>
                <w:highlight w:val="none"/>
              </w:rPr>
            </w:pPr>
            <w:r>
              <w:rPr>
                <w:rFonts w:ascii="宋体" w:hAnsi="宋体"/>
                <w:b/>
                <w:bCs/>
                <w:sz w:val="21"/>
                <w:szCs w:val="21"/>
                <w:highlight w:val="none"/>
              </w:rPr>
              <w:t>权重</w:t>
            </w:r>
            <w:r>
              <w:rPr>
                <w:rFonts w:hint="eastAsia" w:ascii="宋体" w:hAnsi="宋体"/>
                <w:b/>
                <w:bCs/>
                <w:sz w:val="21"/>
                <w:szCs w:val="21"/>
                <w:highlight w:val="none"/>
                <w:lang w:eastAsia="zh-CN"/>
              </w:rPr>
              <w:t>（</w:t>
            </w:r>
            <w:r>
              <w:rPr>
                <w:rFonts w:hint="eastAsia" w:ascii="宋体" w:hAnsi="宋体"/>
                <w:b/>
                <w:bCs/>
                <w:sz w:val="21"/>
                <w:szCs w:val="21"/>
                <w:highlight w:val="none"/>
                <w:lang w:val="en-US" w:eastAsia="zh-CN"/>
              </w:rPr>
              <w:t>满分100</w:t>
            </w:r>
            <w:r>
              <w:rPr>
                <w:rFonts w:hint="eastAsia" w:ascii="宋体" w:hAnsi="宋体"/>
                <w:b/>
                <w:bCs/>
                <w:sz w:val="21"/>
                <w:szCs w:val="21"/>
                <w:highlight w:val="none"/>
                <w:lang w:eastAsia="zh-CN"/>
              </w:rPr>
              <w:t>）</w:t>
            </w:r>
          </w:p>
        </w:tc>
        <w:tc>
          <w:tcPr>
            <w:tcW w:w="8352" w:type="dxa"/>
            <w:noWrap w:val="0"/>
            <w:vAlign w:val="center"/>
          </w:tcPr>
          <w:p>
            <w:pPr>
              <w:spacing w:line="500" w:lineRule="exact"/>
              <w:jc w:val="center"/>
              <w:rPr>
                <w:rFonts w:ascii="宋体" w:hAnsi="宋体"/>
                <w:b/>
                <w:bCs/>
                <w:sz w:val="21"/>
                <w:szCs w:val="21"/>
                <w:highlight w:val="none"/>
              </w:rPr>
            </w:pPr>
            <w:r>
              <w:rPr>
                <w:rFonts w:ascii="宋体" w:hAnsi="宋体"/>
                <w:b/>
                <w:bCs/>
                <w:sz w:val="21"/>
                <w:szCs w:val="21"/>
                <w:highlight w:val="none"/>
              </w:rPr>
              <w:t>评分因素及评分标准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充电单价</w:t>
            </w:r>
          </w:p>
          <w:p>
            <w:pPr>
              <w:spacing w:line="500" w:lineRule="exact"/>
              <w:jc w:val="center"/>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val="en-US" w:eastAsia="zh-CN"/>
              </w:rPr>
              <w:t>（20分）</w:t>
            </w:r>
          </w:p>
        </w:tc>
        <w:tc>
          <w:tcPr>
            <w:tcW w:w="8352" w:type="dxa"/>
            <w:noWrap w:val="0"/>
            <w:vAlign w:val="center"/>
          </w:tcPr>
          <w:p>
            <w:pPr>
              <w:pStyle w:val="6"/>
              <w:rPr>
                <w:rFonts w:hint="eastAsia" w:ascii="Arial" w:hAnsi="Arial" w:eastAsia="黑体" w:cs="Times New Roman"/>
                <w:b/>
                <w:kern w:val="0"/>
                <w:sz w:val="28"/>
                <w:szCs w:val="24"/>
                <w:lang w:val="en-US" w:eastAsia="zh-CN" w:bidi="ar-SA"/>
              </w:rPr>
            </w:pPr>
            <w:r>
              <w:rPr>
                <w:rFonts w:hint="default" w:ascii="Times New Roman" w:hAnsi="Times New Roman" w:eastAsia="宋体" w:cs="Times New Roman"/>
                <w:b w:val="0"/>
                <w:bCs w:val="0"/>
                <w:kern w:val="2"/>
                <w:sz w:val="21"/>
                <w:szCs w:val="24"/>
                <w:lang w:val="en-US" w:eastAsia="zh-CN" w:bidi="ar-SA"/>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产品优势</w:t>
            </w:r>
          </w:p>
          <w:p>
            <w:pPr>
              <w:spacing w:line="500" w:lineRule="exact"/>
              <w:jc w:val="center"/>
              <w:rPr>
                <w:rFonts w:ascii="宋体" w:hAnsi="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2</w:t>
            </w:r>
            <w:r>
              <w:rPr>
                <w:rFonts w:ascii="宋体" w:hAnsi="宋体" w:cs="宋体"/>
                <w:sz w:val="21"/>
                <w:szCs w:val="21"/>
                <w:highlight w:val="none"/>
                <w:lang w:eastAsia="zh-CN"/>
              </w:rPr>
              <w:t>0</w:t>
            </w:r>
            <w:r>
              <w:rPr>
                <w:rFonts w:hint="eastAsia" w:ascii="宋体" w:hAnsi="宋体" w:cs="宋体"/>
                <w:sz w:val="21"/>
                <w:szCs w:val="21"/>
                <w:highlight w:val="none"/>
              </w:rPr>
              <w:t>分）</w:t>
            </w:r>
          </w:p>
        </w:tc>
        <w:tc>
          <w:tcPr>
            <w:tcW w:w="8352" w:type="dxa"/>
            <w:noWrap w:val="0"/>
            <w:vAlign w:val="center"/>
          </w:tcPr>
          <w:p>
            <w:pPr>
              <w:pStyle w:val="232"/>
              <w:numPr>
                <w:ilvl w:val="0"/>
                <w:numId w:val="5"/>
              </w:numPr>
              <w:spacing w:line="400" w:lineRule="exact"/>
              <w:jc w:val="both"/>
              <w:rPr>
                <w:rFonts w:hint="eastAsia"/>
                <w:sz w:val="21"/>
                <w:szCs w:val="21"/>
                <w:highlight w:val="none"/>
                <w:lang w:val="en-US" w:eastAsia="zh-CN"/>
              </w:rPr>
            </w:pPr>
            <w:bookmarkStart w:id="484" w:name="_GoBack"/>
            <w:r>
              <w:rPr>
                <w:rFonts w:hint="eastAsia"/>
                <w:sz w:val="21"/>
                <w:szCs w:val="21"/>
                <w:highlight w:val="none"/>
                <w:lang w:val="en-US" w:eastAsia="zh-CN"/>
              </w:rPr>
              <w:t>安全性能10分（外壳防水、防火、防电；电压、电流、充电电量和时间实时监测，发现异常断电保护；配备消防设备）</w:t>
            </w:r>
          </w:p>
          <w:p>
            <w:pPr>
              <w:pStyle w:val="232"/>
              <w:numPr>
                <w:ilvl w:val="0"/>
                <w:numId w:val="5"/>
              </w:numPr>
              <w:spacing w:line="400" w:lineRule="exact"/>
              <w:jc w:val="both"/>
              <w:rPr>
                <w:rFonts w:hint="eastAsia"/>
                <w:sz w:val="21"/>
                <w:szCs w:val="21"/>
                <w:highlight w:val="none"/>
                <w:lang w:val="en-US" w:eastAsia="zh-CN"/>
              </w:rPr>
            </w:pPr>
            <w:r>
              <w:rPr>
                <w:rFonts w:hint="eastAsia"/>
                <w:sz w:val="21"/>
                <w:szCs w:val="21"/>
                <w:highlight w:val="none"/>
                <w:lang w:val="en-US" w:eastAsia="zh-CN"/>
              </w:rPr>
              <w:t>单路控制5分（一路出问题，不影响其他路使用）</w:t>
            </w:r>
          </w:p>
          <w:p>
            <w:pPr>
              <w:pStyle w:val="232"/>
              <w:spacing w:line="400" w:lineRule="exact"/>
              <w:jc w:val="both"/>
              <w:rPr>
                <w:sz w:val="21"/>
                <w:szCs w:val="21"/>
                <w:highlight w:val="none"/>
                <w:lang w:eastAsia="zh-CN"/>
              </w:rPr>
            </w:pPr>
            <w:r>
              <w:rPr>
                <w:rFonts w:hint="eastAsia"/>
                <w:sz w:val="21"/>
                <w:szCs w:val="21"/>
                <w:highlight w:val="none"/>
                <w:lang w:val="en-US" w:eastAsia="zh-CN"/>
              </w:rPr>
              <w:t xml:space="preserve">3. </w:t>
            </w:r>
            <w:r>
              <w:rPr>
                <w:rFonts w:hint="eastAsia"/>
                <w:sz w:val="21"/>
                <w:szCs w:val="21"/>
                <w:highlight w:val="none"/>
                <w:lang w:eastAsia="zh-CN"/>
              </w:rPr>
              <w:t>充满自停</w:t>
            </w:r>
            <w:r>
              <w:rPr>
                <w:rFonts w:hint="eastAsia"/>
                <w:sz w:val="21"/>
                <w:szCs w:val="21"/>
                <w:highlight w:val="none"/>
                <w:lang w:val="en-US" w:eastAsia="zh-CN"/>
              </w:rPr>
              <w:t>5分</w:t>
            </w:r>
            <w:r>
              <w:rPr>
                <w:rFonts w:hint="eastAsia"/>
                <w:sz w:val="21"/>
                <w:szCs w:val="21"/>
                <w:highlight w:val="none"/>
                <w:lang w:eastAsia="zh-CN"/>
              </w:rPr>
              <w:t>（</w:t>
            </w:r>
            <w:r>
              <w:rPr>
                <w:rFonts w:hint="eastAsia"/>
                <w:sz w:val="21"/>
                <w:szCs w:val="21"/>
                <w:highlight w:val="none"/>
                <w:lang w:val="en-US" w:eastAsia="zh-CN"/>
              </w:rPr>
              <w:t>充满电量，停止运行，费用原路退回</w:t>
            </w:r>
            <w:r>
              <w:rPr>
                <w:rFonts w:hint="eastAsia"/>
                <w:sz w:val="21"/>
                <w:szCs w:val="21"/>
                <w:highlight w:val="none"/>
                <w:lang w:eastAsia="zh-CN"/>
              </w:rPr>
              <w:t>）</w:t>
            </w:r>
            <w:bookmarkEnd w:id="4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0"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设备投入</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（15分）</w:t>
            </w:r>
          </w:p>
        </w:tc>
        <w:tc>
          <w:tcPr>
            <w:tcW w:w="8352" w:type="dxa"/>
            <w:noWrap w:val="0"/>
            <w:vAlign w:val="center"/>
          </w:tcPr>
          <w:p>
            <w:pPr>
              <w:spacing w:line="500" w:lineRule="exact"/>
              <w:jc w:val="both"/>
              <w:rPr>
                <w:rFonts w:hint="eastAsia" w:hAnsi="宋体"/>
              </w:rPr>
            </w:pPr>
            <w:r>
              <w:rPr>
                <w:rFonts w:hint="eastAsia" w:ascii="宋体" w:hAnsi="宋体" w:cs="宋体"/>
                <w:sz w:val="21"/>
                <w:szCs w:val="21"/>
                <w:highlight w:val="none"/>
                <w:lang w:val="en-US" w:eastAsia="zh-CN"/>
              </w:rPr>
              <w:t>拟投入充电桩组数/插头数量：要求</w:t>
            </w:r>
            <w:r>
              <w:rPr>
                <w:rFonts w:hint="eastAsia" w:hAnsi="宋体"/>
              </w:rPr>
              <w:t>为校区安装不少于</w:t>
            </w:r>
            <w:r>
              <w:rPr>
                <w:rFonts w:hint="eastAsia" w:hAnsi="宋体"/>
                <w:lang w:val="en-US" w:eastAsia="zh-CN"/>
              </w:rPr>
              <w:t>80</w:t>
            </w:r>
            <w:r>
              <w:rPr>
                <w:rFonts w:hint="eastAsia" w:hAnsi="宋体"/>
              </w:rPr>
              <w:t>个充电插头；为家属区安装不少于40个充电插头</w:t>
            </w:r>
          </w:p>
          <w:p>
            <w:pPr>
              <w:spacing w:line="500" w:lineRule="exact"/>
              <w:jc w:val="left"/>
              <w:rPr>
                <w:rFonts w:hint="eastAsia" w:ascii="宋体" w:hAnsi="宋体" w:cs="宋体"/>
                <w:sz w:val="21"/>
                <w:szCs w:val="21"/>
                <w:highlight w:val="none"/>
                <w:lang w:val="en-US" w:eastAsia="zh-CN"/>
              </w:rPr>
            </w:pPr>
            <w:r>
              <w:rPr>
                <w:rFonts w:hint="eastAsia" w:hAnsi="宋体"/>
                <w:lang w:val="en-US" w:eastAsia="zh-CN"/>
              </w:rPr>
              <w:t xml:space="preserve">1. 达标得5分；2. 适当优于得10分；3. 车棚单侧全部布满得15分；4. </w:t>
            </w:r>
            <w:r>
              <w:rPr>
                <w:rFonts w:hint="eastAsia" w:ascii="宋体" w:hAnsi="宋体" w:cs="宋体"/>
                <w:sz w:val="21"/>
                <w:szCs w:val="21"/>
                <w:highlight w:val="none"/>
                <w:lang w:val="en-US" w:eastAsia="zh-CN"/>
              </w:rPr>
              <w:t>不达标得0分。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预存费用</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（20分）</w:t>
            </w:r>
          </w:p>
        </w:tc>
        <w:tc>
          <w:tcPr>
            <w:tcW w:w="8352" w:type="dxa"/>
            <w:noWrap w:val="0"/>
            <w:vAlign w:val="center"/>
          </w:tcPr>
          <w:p>
            <w:pPr>
              <w:spacing w:line="500" w:lineRule="exact"/>
              <w:jc w:val="left"/>
              <w:rPr>
                <w:rFonts w:hint="eastAsia"/>
                <w:lang w:val="en-US" w:eastAsia="zh-CN"/>
              </w:rPr>
            </w:pPr>
            <w:r>
              <w:rPr>
                <w:rFonts w:hint="eastAsia"/>
                <w:lang w:val="en-US" w:eastAsia="zh-CN"/>
              </w:rPr>
              <w:t>（要求不高于10元）</w:t>
            </w:r>
          </w:p>
          <w:p>
            <w:pPr>
              <w:numPr>
                <w:ilvl w:val="0"/>
                <w:numId w:val="6"/>
              </w:numPr>
              <w:spacing w:line="500" w:lineRule="exact"/>
              <w:jc w:val="left"/>
              <w:rPr>
                <w:rFonts w:hint="eastAsia"/>
                <w:lang w:val="en-US" w:eastAsia="zh-CN"/>
              </w:rPr>
            </w:pPr>
            <w:r>
              <w:rPr>
                <w:rFonts w:hint="eastAsia"/>
                <w:lang w:val="en-US" w:eastAsia="zh-CN"/>
              </w:rPr>
              <w:t>无需预存得20分；2. 最低预存10元得10分；3. 最低预存5元得15分；4. 高于10元得0分。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维保方案</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（20分）</w:t>
            </w:r>
          </w:p>
        </w:tc>
        <w:tc>
          <w:tcPr>
            <w:tcW w:w="8352" w:type="dxa"/>
            <w:noWrap w:val="0"/>
            <w:vAlign w:val="center"/>
          </w:tcPr>
          <w:p>
            <w:pPr>
              <w:numPr>
                <w:ilvl w:val="0"/>
                <w:numId w:val="7"/>
              </w:numPr>
              <w:spacing w:line="500" w:lineRule="exact"/>
              <w:jc w:val="both"/>
              <w:rPr>
                <w:rFonts w:hint="eastAsia"/>
                <w:lang w:val="en-US" w:eastAsia="zh-CN"/>
              </w:rPr>
            </w:pPr>
            <w:r>
              <w:rPr>
                <w:rFonts w:hint="eastAsia"/>
                <w:lang w:val="en-US" w:eastAsia="zh-CN"/>
              </w:rPr>
              <w:t>维保人员投入（1人为达标，得5分；2人为优秀，得10分）</w:t>
            </w:r>
          </w:p>
          <w:p>
            <w:pPr>
              <w:numPr>
                <w:ilvl w:val="0"/>
                <w:numId w:val="0"/>
              </w:numPr>
              <w:spacing w:line="500" w:lineRule="exact"/>
              <w:jc w:val="both"/>
              <w:rPr>
                <w:rFonts w:hint="eastAsia"/>
                <w:lang w:val="en-US" w:eastAsia="zh-CN"/>
              </w:rPr>
            </w:pPr>
            <w:r>
              <w:rPr>
                <w:rFonts w:hint="eastAsia" w:ascii="Calibri" w:hAnsi="Calibri" w:eastAsia="宋体" w:cs="Times New Roman"/>
                <w:b w:val="0"/>
                <w:bCs w:val="0"/>
                <w:kern w:val="2"/>
                <w:sz w:val="21"/>
                <w:szCs w:val="24"/>
                <w:lang w:val="en-US" w:eastAsia="zh-CN" w:bidi="ar-SA"/>
              </w:rPr>
              <w:t>2.</w:t>
            </w:r>
            <w:r>
              <w:rPr>
                <w:rFonts w:hint="eastAsia" w:ascii="Calibri" w:hAnsi="Calibri" w:cs="Times New Roman"/>
                <w:b w:val="0"/>
                <w:bCs w:val="0"/>
                <w:kern w:val="2"/>
                <w:sz w:val="21"/>
                <w:szCs w:val="24"/>
                <w:lang w:val="en-US" w:eastAsia="zh-CN" w:bidi="ar-SA"/>
              </w:rPr>
              <w:t>维保次数安排</w:t>
            </w:r>
            <w:r>
              <w:rPr>
                <w:rFonts w:hint="eastAsia"/>
                <w:lang w:val="en-US" w:eastAsia="zh-CN"/>
              </w:rPr>
              <w:t>（1次/月为达标，得5分；2次/月为优秀，得10分）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1712" w:type="dxa"/>
            <w:noWrap w:val="0"/>
            <w:vAlign w:val="center"/>
          </w:tcPr>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公司业绩</w:t>
            </w:r>
          </w:p>
          <w:p>
            <w:pPr>
              <w:spacing w:line="500" w:lineRule="exact"/>
              <w:jc w:val="center"/>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（5分）</w:t>
            </w:r>
          </w:p>
          <w:p>
            <w:pPr>
              <w:spacing w:line="500" w:lineRule="exact"/>
              <w:jc w:val="center"/>
              <w:rPr>
                <w:rFonts w:hint="eastAsia" w:ascii="宋体" w:hAnsi="宋体" w:cs="宋体"/>
                <w:sz w:val="21"/>
                <w:szCs w:val="21"/>
                <w:highlight w:val="none"/>
                <w:lang w:val="en-US" w:eastAsia="zh-CN"/>
              </w:rPr>
            </w:pPr>
          </w:p>
        </w:tc>
        <w:tc>
          <w:tcPr>
            <w:tcW w:w="8352" w:type="dxa"/>
            <w:noWrap w:val="0"/>
            <w:vAlign w:val="center"/>
          </w:tcPr>
          <w:p>
            <w:pPr>
              <w:spacing w:line="500" w:lineRule="exact"/>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供应商提供自2021年1月1日至磋商截止日（同类业绩，每提供1个业绩得1分，最多得5分；</w:t>
            </w:r>
          </w:p>
          <w:p>
            <w:pPr>
              <w:spacing w:line="500" w:lineRule="exact"/>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评审依据：签署完整合同复印件或成交（中标）通知书，（同一个业主单位只计一次）</w:t>
            </w:r>
          </w:p>
        </w:tc>
      </w:tr>
    </w:tbl>
    <w:p>
      <w:pPr>
        <w:overflowPunct w:val="0"/>
        <w:adjustRightInd w:val="0"/>
        <w:snapToGrid w:val="0"/>
        <w:spacing w:line="360" w:lineRule="auto"/>
        <w:rPr>
          <w:rFonts w:hint="eastAsia" w:ascii="宋体" w:hAnsi="宋体" w:cs="宋体"/>
          <w:sz w:val="24"/>
        </w:rPr>
      </w:pPr>
    </w:p>
    <w:p>
      <w:pPr>
        <w:overflowPunct w:val="0"/>
        <w:adjustRightInd w:val="0"/>
        <w:snapToGrid w:val="0"/>
        <w:spacing w:line="360" w:lineRule="auto"/>
        <w:rPr>
          <w:rFonts w:ascii="宋体" w:hAnsi="宋体" w:cs="宋体"/>
          <w:sz w:val="24"/>
        </w:rPr>
      </w:pPr>
      <w:r>
        <w:rPr>
          <w:rFonts w:hint="eastAsia" w:ascii="宋体" w:hAnsi="宋体" w:cs="宋体"/>
          <w:sz w:val="24"/>
        </w:rPr>
        <w:t>27.4磋商小组应当根据综合评分情况，按照评审得分由高到低顺序推荐成交候选供应商，评审得分相同的，按照最后报价由低到高的顺序推荐。评审得分且最后报价相同的，按照技术方案优劣顺序推荐。磋商小组确定成交供应商。</w:t>
      </w:r>
    </w:p>
    <w:p>
      <w:pPr>
        <w:adjustRightInd w:val="0"/>
        <w:snapToGrid w:val="0"/>
        <w:spacing w:line="360" w:lineRule="auto"/>
        <w:rPr>
          <w:rFonts w:ascii="宋体" w:hAnsi="宋体" w:cs="宋体"/>
          <w:sz w:val="24"/>
        </w:rPr>
      </w:pPr>
      <w:r>
        <w:rPr>
          <w:rFonts w:hint="eastAsia" w:ascii="宋体" w:hAnsi="宋体" w:cs="宋体"/>
          <w:sz w:val="24"/>
        </w:rPr>
        <w:t>27.5评审过程中，若出现本办法以外的特殊情况时，将暂停评审，有关情况待磋商小组确定后，再行评定。</w:t>
      </w:r>
    </w:p>
    <w:p>
      <w:pPr>
        <w:pStyle w:val="2"/>
        <w:adjustRightInd w:val="0"/>
        <w:snapToGrid w:val="0"/>
        <w:spacing w:before="0" w:after="0" w:line="360" w:lineRule="auto"/>
        <w:rPr>
          <w:rFonts w:ascii="宋体" w:hAnsi="宋体" w:cs="宋体"/>
          <w:sz w:val="24"/>
          <w:szCs w:val="24"/>
        </w:rPr>
      </w:pPr>
      <w:bookmarkStart w:id="266" w:name="_Toc2239"/>
      <w:bookmarkStart w:id="267" w:name="_Toc6185"/>
      <w:bookmarkStart w:id="268" w:name="_Toc13868"/>
      <w:bookmarkStart w:id="269" w:name="_Toc18634"/>
      <w:r>
        <w:rPr>
          <w:rFonts w:hint="eastAsia" w:ascii="宋体" w:hAnsi="宋体" w:cs="宋体"/>
          <w:sz w:val="24"/>
          <w:szCs w:val="24"/>
        </w:rPr>
        <w:t>28．与采购人和磋商小组接触</w:t>
      </w:r>
      <w:bookmarkEnd w:id="263"/>
      <w:bookmarkEnd w:id="264"/>
      <w:bookmarkEnd w:id="265"/>
      <w:bookmarkEnd w:id="266"/>
      <w:bookmarkEnd w:id="267"/>
      <w:bookmarkEnd w:id="268"/>
      <w:bookmarkEnd w:id="269"/>
    </w:p>
    <w:p>
      <w:pPr>
        <w:adjustRightInd w:val="0"/>
        <w:snapToGrid w:val="0"/>
        <w:spacing w:line="360" w:lineRule="auto"/>
        <w:rPr>
          <w:rFonts w:ascii="宋体" w:hAnsi="宋体" w:cs="宋体"/>
          <w:sz w:val="24"/>
        </w:rPr>
      </w:pPr>
      <w:r>
        <w:rPr>
          <w:rFonts w:hint="eastAsia" w:ascii="宋体" w:hAnsi="宋体" w:cs="宋体"/>
          <w:sz w:val="24"/>
        </w:rPr>
        <w:t>28.1 供应商试图对采购人和磋商小组的评审、比较或授予合同的决定进行影响，都可能导致其磋商被拒绝。</w:t>
      </w:r>
    </w:p>
    <w:p>
      <w:pPr>
        <w:pStyle w:val="4"/>
        <w:spacing w:line="360" w:lineRule="auto"/>
        <w:jc w:val="center"/>
        <w:rPr>
          <w:rFonts w:ascii="宋体" w:hAnsi="宋体" w:eastAsia="宋体" w:cs="宋体"/>
          <w:b w:val="0"/>
          <w:sz w:val="44"/>
        </w:rPr>
      </w:pPr>
      <w:bookmarkStart w:id="270" w:name="_Toc332874424"/>
      <w:bookmarkStart w:id="271" w:name="_Toc311415606"/>
      <w:bookmarkStart w:id="272" w:name="_Toc423508255"/>
      <w:bookmarkStart w:id="273" w:name="_Toc27865"/>
      <w:bookmarkStart w:id="274" w:name="_Toc3026"/>
      <w:bookmarkStart w:id="275" w:name="_Toc15612"/>
      <w:bookmarkStart w:id="276" w:name="_Toc11013"/>
      <w:bookmarkStart w:id="277" w:name="_Toc283626507"/>
      <w:bookmarkStart w:id="278" w:name="_Toc6"/>
      <w:bookmarkStart w:id="279" w:name="_Toc409684171"/>
      <w:bookmarkStart w:id="280" w:name="_Toc283240491"/>
      <w:bookmarkStart w:id="281" w:name="_Toc22182"/>
      <w:r>
        <w:rPr>
          <w:rFonts w:hint="eastAsia" w:ascii="宋体" w:hAnsi="宋体" w:eastAsia="宋体" w:cs="宋体"/>
          <w:b w:val="0"/>
          <w:sz w:val="44"/>
        </w:rPr>
        <w:t>F．授予合同</w:t>
      </w:r>
      <w:bookmarkEnd w:id="270"/>
      <w:bookmarkEnd w:id="271"/>
      <w:bookmarkEnd w:id="272"/>
      <w:bookmarkEnd w:id="273"/>
      <w:bookmarkEnd w:id="274"/>
      <w:bookmarkEnd w:id="275"/>
      <w:bookmarkEnd w:id="276"/>
      <w:bookmarkEnd w:id="277"/>
      <w:bookmarkEnd w:id="278"/>
      <w:bookmarkEnd w:id="279"/>
      <w:bookmarkEnd w:id="280"/>
      <w:bookmarkEnd w:id="281"/>
    </w:p>
    <w:p>
      <w:pPr>
        <w:pStyle w:val="2"/>
        <w:adjustRightInd w:val="0"/>
        <w:snapToGrid w:val="0"/>
        <w:spacing w:before="0" w:after="0" w:line="360" w:lineRule="auto"/>
        <w:rPr>
          <w:rFonts w:ascii="宋体" w:hAnsi="宋体" w:cs="宋体"/>
          <w:sz w:val="24"/>
          <w:szCs w:val="24"/>
        </w:rPr>
      </w:pPr>
      <w:bookmarkStart w:id="282" w:name="_Toc311415607"/>
      <w:bookmarkStart w:id="283" w:name="_Toc423508256"/>
      <w:bookmarkStart w:id="284" w:name="_Toc16840"/>
      <w:bookmarkStart w:id="285" w:name="_Toc4189"/>
      <w:bookmarkStart w:id="286" w:name="_Toc7819"/>
      <w:bookmarkStart w:id="287" w:name="_Toc32355"/>
      <w:r>
        <w:rPr>
          <w:rFonts w:hint="eastAsia" w:ascii="宋体" w:hAnsi="宋体" w:cs="宋体"/>
          <w:sz w:val="24"/>
          <w:szCs w:val="24"/>
        </w:rPr>
        <w:t>29．</w:t>
      </w:r>
      <w:bookmarkEnd w:id="282"/>
      <w:bookmarkEnd w:id="283"/>
      <w:r>
        <w:rPr>
          <w:rFonts w:hint="eastAsia" w:ascii="宋体" w:hAnsi="宋体" w:cs="宋体"/>
          <w:sz w:val="24"/>
          <w:szCs w:val="24"/>
        </w:rPr>
        <w:t>成交</w:t>
      </w:r>
      <w:bookmarkEnd w:id="284"/>
      <w:bookmarkEnd w:id="285"/>
      <w:bookmarkEnd w:id="286"/>
      <w:bookmarkEnd w:id="287"/>
    </w:p>
    <w:p>
      <w:pPr>
        <w:adjustRightInd w:val="0"/>
        <w:snapToGrid w:val="0"/>
        <w:spacing w:line="360" w:lineRule="auto"/>
        <w:rPr>
          <w:rFonts w:ascii="宋体" w:hAnsi="宋体" w:cs="宋体"/>
          <w:sz w:val="24"/>
        </w:rPr>
      </w:pPr>
      <w:r>
        <w:rPr>
          <w:rFonts w:hint="eastAsia" w:ascii="宋体" w:hAnsi="宋体" w:cs="宋体"/>
          <w:sz w:val="24"/>
        </w:rPr>
        <w:t>29.1 合同将授予项目符合磋商文件要求、并能圆满地履行合同的、对采购人最为有利的供应商。</w:t>
      </w:r>
    </w:p>
    <w:p>
      <w:pPr>
        <w:adjustRightInd w:val="0"/>
        <w:snapToGrid w:val="0"/>
        <w:spacing w:line="360" w:lineRule="auto"/>
        <w:rPr>
          <w:rFonts w:ascii="宋体" w:hAnsi="宋体" w:cs="宋体"/>
          <w:sz w:val="24"/>
        </w:rPr>
      </w:pPr>
      <w:r>
        <w:rPr>
          <w:rFonts w:hint="eastAsia" w:ascii="宋体" w:hAnsi="宋体" w:cs="宋体"/>
          <w:sz w:val="24"/>
        </w:rPr>
        <w:t>29.2 本项目不保证最低价成交。</w:t>
      </w:r>
    </w:p>
    <w:p>
      <w:pPr>
        <w:adjustRightInd w:val="0"/>
        <w:snapToGrid w:val="0"/>
        <w:spacing w:line="360" w:lineRule="auto"/>
        <w:rPr>
          <w:rFonts w:ascii="宋体" w:hAnsi="宋体" w:cs="宋体"/>
          <w:sz w:val="24"/>
        </w:rPr>
      </w:pPr>
      <w:r>
        <w:rPr>
          <w:rFonts w:hint="eastAsia" w:ascii="宋体" w:hAnsi="宋体" w:cs="宋体"/>
          <w:sz w:val="24"/>
        </w:rPr>
        <w:t>29.3 成交通知书发出30个日历日内须签订合同。如已成交的供应商不能按响应文件，包括补充文件（如澄清、承诺等）中承诺的条件履行签约行为，采购人有权取消其成交资格，并扣除磋商保证金。</w:t>
      </w:r>
    </w:p>
    <w:p>
      <w:pPr>
        <w:pStyle w:val="2"/>
        <w:adjustRightInd w:val="0"/>
        <w:snapToGrid w:val="0"/>
        <w:spacing w:before="0" w:after="0" w:line="360" w:lineRule="auto"/>
        <w:rPr>
          <w:rFonts w:ascii="宋体" w:hAnsi="宋体" w:cs="宋体"/>
          <w:sz w:val="24"/>
          <w:szCs w:val="24"/>
        </w:rPr>
      </w:pPr>
      <w:bookmarkStart w:id="288" w:name="_Toc6982"/>
      <w:bookmarkStart w:id="289" w:name="_Toc23600"/>
      <w:bookmarkStart w:id="290" w:name="_Toc32126"/>
      <w:bookmarkStart w:id="291" w:name="_Toc17344"/>
      <w:r>
        <w:rPr>
          <w:rFonts w:hint="eastAsia" w:ascii="宋体" w:hAnsi="宋体" w:cs="宋体"/>
          <w:sz w:val="24"/>
          <w:szCs w:val="24"/>
        </w:rPr>
        <w:t>30．成交通知</w:t>
      </w:r>
      <w:bookmarkEnd w:id="288"/>
      <w:bookmarkEnd w:id="289"/>
      <w:bookmarkEnd w:id="290"/>
      <w:bookmarkEnd w:id="291"/>
    </w:p>
    <w:p>
      <w:pPr>
        <w:adjustRightInd w:val="0"/>
        <w:snapToGrid w:val="0"/>
        <w:spacing w:line="360" w:lineRule="auto"/>
        <w:rPr>
          <w:rFonts w:ascii="宋体" w:hAnsi="宋体" w:cs="宋体"/>
          <w:sz w:val="24"/>
        </w:rPr>
      </w:pPr>
      <w:r>
        <w:rPr>
          <w:rFonts w:hint="eastAsia" w:ascii="宋体" w:hAnsi="宋体" w:cs="宋体"/>
          <w:sz w:val="24"/>
        </w:rPr>
        <w:t>30.1 采购人向成交供应商发出成交通知书。</w:t>
      </w:r>
    </w:p>
    <w:p>
      <w:pPr>
        <w:pStyle w:val="2"/>
        <w:adjustRightInd w:val="0"/>
        <w:snapToGrid w:val="0"/>
        <w:spacing w:before="0" w:after="0" w:line="360" w:lineRule="auto"/>
        <w:rPr>
          <w:rFonts w:ascii="宋体" w:hAnsi="宋体" w:cs="宋体"/>
          <w:sz w:val="24"/>
          <w:szCs w:val="24"/>
        </w:rPr>
      </w:pPr>
      <w:bookmarkStart w:id="292" w:name="_Toc21016"/>
      <w:bookmarkStart w:id="293" w:name="_Toc26719"/>
      <w:bookmarkStart w:id="294" w:name="_Toc10190"/>
      <w:bookmarkStart w:id="295" w:name="_Toc25943"/>
      <w:r>
        <w:rPr>
          <w:rFonts w:hint="eastAsia" w:ascii="宋体" w:hAnsi="宋体" w:cs="宋体"/>
          <w:sz w:val="24"/>
          <w:szCs w:val="24"/>
        </w:rPr>
        <w:t>31．签订合同</w:t>
      </w:r>
      <w:bookmarkEnd w:id="292"/>
      <w:bookmarkEnd w:id="293"/>
      <w:bookmarkEnd w:id="294"/>
      <w:bookmarkEnd w:id="295"/>
    </w:p>
    <w:p>
      <w:pPr>
        <w:adjustRightInd w:val="0"/>
        <w:snapToGrid w:val="0"/>
        <w:spacing w:line="360" w:lineRule="auto"/>
        <w:rPr>
          <w:rFonts w:ascii="宋体" w:hAnsi="宋体" w:cs="宋体"/>
          <w:sz w:val="24"/>
        </w:rPr>
      </w:pPr>
      <w:r>
        <w:rPr>
          <w:rFonts w:hint="eastAsia" w:ascii="宋体" w:hAnsi="宋体" w:cs="宋体"/>
          <w:sz w:val="24"/>
        </w:rPr>
        <w:t>31.1 磋商文件、成交供应商的磋商文件和补充文件（如澄清、承诺等）等，均为有法律约束力的经济合同组成的一部分</w:t>
      </w:r>
    </w:p>
    <w:p>
      <w:pPr>
        <w:pStyle w:val="2"/>
        <w:adjustRightInd w:val="0"/>
        <w:snapToGrid w:val="0"/>
        <w:spacing w:before="0" w:after="0" w:line="360" w:lineRule="auto"/>
        <w:rPr>
          <w:rFonts w:ascii="宋体" w:hAnsi="宋体" w:cs="宋体"/>
          <w:sz w:val="24"/>
          <w:szCs w:val="24"/>
        </w:rPr>
      </w:pPr>
      <w:bookmarkStart w:id="296" w:name="_Toc423508257"/>
      <w:bookmarkStart w:id="297" w:name="_Toc9069"/>
      <w:bookmarkStart w:id="298" w:name="_Toc23800"/>
      <w:bookmarkStart w:id="299" w:name="_Toc12140"/>
      <w:bookmarkStart w:id="300" w:name="_Toc311415609"/>
      <w:bookmarkStart w:id="301" w:name="_Toc13044"/>
      <w:r>
        <w:rPr>
          <w:rFonts w:hint="eastAsia" w:ascii="宋体" w:hAnsi="宋体" w:cs="宋体"/>
          <w:sz w:val="24"/>
          <w:szCs w:val="24"/>
        </w:rPr>
        <w:t>32．接受和拒绝任何或所有磋商的权力</w:t>
      </w:r>
      <w:bookmarkEnd w:id="296"/>
      <w:bookmarkEnd w:id="297"/>
      <w:bookmarkEnd w:id="298"/>
      <w:bookmarkEnd w:id="299"/>
      <w:bookmarkEnd w:id="300"/>
      <w:bookmarkEnd w:id="301"/>
    </w:p>
    <w:p>
      <w:pPr>
        <w:adjustRightInd w:val="0"/>
        <w:snapToGrid w:val="0"/>
        <w:spacing w:line="360" w:lineRule="auto"/>
        <w:rPr>
          <w:rFonts w:ascii="宋体" w:hAnsi="宋体" w:cs="宋体"/>
          <w:sz w:val="24"/>
        </w:rPr>
      </w:pPr>
      <w:r>
        <w:rPr>
          <w:rFonts w:hint="eastAsia" w:ascii="宋体" w:hAnsi="宋体" w:cs="宋体"/>
          <w:sz w:val="24"/>
        </w:rPr>
        <w:t>32.1 采购人保留在授标之前任何时候接受或拒绝任何磋商，以及宣布磋商程序无效或拒绝所有磋商的权力，对受影响的供应商不承担任何责任，也无义务向受影响的供应商解释采取这一行动的理由。</w:t>
      </w:r>
    </w:p>
    <w:p>
      <w:pPr>
        <w:pStyle w:val="2"/>
        <w:adjustRightInd w:val="0"/>
        <w:snapToGrid w:val="0"/>
        <w:spacing w:before="0" w:after="0" w:line="360" w:lineRule="auto"/>
        <w:rPr>
          <w:rFonts w:ascii="宋体" w:hAnsi="宋体" w:cs="宋体"/>
          <w:sz w:val="24"/>
          <w:szCs w:val="24"/>
        </w:rPr>
      </w:pPr>
      <w:bookmarkStart w:id="302" w:name="_Toc14908"/>
      <w:bookmarkStart w:id="303" w:name="_Toc423508259"/>
      <w:bookmarkStart w:id="304" w:name="_Toc311415613"/>
      <w:bookmarkStart w:id="305" w:name="_Toc15927"/>
      <w:bookmarkStart w:id="306" w:name="_Toc19607"/>
      <w:bookmarkStart w:id="307" w:name="_Toc21211"/>
      <w:r>
        <w:rPr>
          <w:rFonts w:hint="eastAsia" w:ascii="宋体" w:hAnsi="宋体" w:cs="宋体"/>
          <w:sz w:val="24"/>
          <w:szCs w:val="24"/>
        </w:rPr>
        <w:t>33．腐败和欺诈行为</w:t>
      </w:r>
      <w:bookmarkEnd w:id="302"/>
      <w:bookmarkEnd w:id="303"/>
      <w:bookmarkEnd w:id="304"/>
      <w:bookmarkEnd w:id="305"/>
      <w:bookmarkEnd w:id="306"/>
      <w:bookmarkEnd w:id="307"/>
    </w:p>
    <w:p>
      <w:pPr>
        <w:adjustRightInd w:val="0"/>
        <w:snapToGrid w:val="0"/>
        <w:spacing w:line="360" w:lineRule="auto"/>
        <w:rPr>
          <w:rFonts w:ascii="宋体" w:hAnsi="宋体" w:cs="宋体"/>
          <w:sz w:val="24"/>
        </w:rPr>
      </w:pPr>
      <w:r>
        <w:rPr>
          <w:rFonts w:hint="eastAsia" w:ascii="宋体" w:hAnsi="宋体" w:cs="宋体"/>
          <w:sz w:val="24"/>
        </w:rPr>
        <w:t>33.1 定义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33.1.1 “腐败行为”是指提供给予接受或索取任何有价值的东西来影响采购代理机构和/或采购人在采购过程或合同实施过程中的行为。</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33.1.2 “欺诈行为”是指为了影响采购过程或合同实施过程而谎报事实，损害采购人的利益，包括供应商之间相互串通（递交响应文件之前和之后），人为地使磋商丧失竞争性，剥夺采购人从自由公开竞争所能获得的权益。</w:t>
      </w:r>
    </w:p>
    <w:p>
      <w:pPr>
        <w:adjustRightInd w:val="0"/>
        <w:snapToGrid w:val="0"/>
        <w:spacing w:line="360" w:lineRule="auto"/>
        <w:rPr>
          <w:rFonts w:ascii="宋体" w:hAnsi="宋体" w:cs="宋体"/>
          <w:sz w:val="32"/>
          <w:szCs w:val="32"/>
        </w:rPr>
      </w:pPr>
      <w:r>
        <w:rPr>
          <w:rFonts w:hint="eastAsia" w:ascii="宋体" w:hAnsi="宋体" w:cs="宋体"/>
          <w:sz w:val="24"/>
        </w:rPr>
        <w:t>33.2如果采购人认为供应商在本项目的竞争中有腐败或欺诈行为，其磋商将被拒绝</w:t>
      </w:r>
      <w:bookmarkEnd w:id="38"/>
      <w:bookmarkEnd w:id="39"/>
      <w:bookmarkEnd w:id="40"/>
      <w:bookmarkEnd w:id="41"/>
      <w:bookmarkEnd w:id="42"/>
      <w:bookmarkEnd w:id="43"/>
      <w:bookmarkEnd w:id="44"/>
      <w:bookmarkEnd w:id="110"/>
      <w:bookmarkEnd w:id="111"/>
      <w:bookmarkEnd w:id="112"/>
      <w:bookmarkStart w:id="308" w:name="_Toc6213"/>
      <w:bookmarkStart w:id="309" w:name="_Toc112"/>
      <w:bookmarkStart w:id="310" w:name="_Toc416732664"/>
      <w:bookmarkStart w:id="311" w:name="_Toc17159"/>
      <w:bookmarkStart w:id="312" w:name="_Toc23086"/>
      <w:bookmarkStart w:id="313" w:name="_Toc23791"/>
      <w:bookmarkStart w:id="314" w:name="_Toc438047763"/>
      <w:bookmarkStart w:id="315" w:name="_Toc246928960"/>
      <w:bookmarkStart w:id="316" w:name="_Toc389620242"/>
      <w:bookmarkStart w:id="317" w:name="_Toc385992402"/>
      <w:bookmarkStart w:id="318" w:name="_Toc497711586"/>
      <w:bookmarkStart w:id="319" w:name="_Toc497712134"/>
      <w:bookmarkStart w:id="320" w:name="_Toc497551821"/>
      <w:bookmarkStart w:id="321" w:name="_Toc492955460"/>
      <w:bookmarkStart w:id="322" w:name="_Toc497546919"/>
      <w:r>
        <w:rPr>
          <w:rFonts w:hint="eastAsia" w:ascii="宋体" w:hAnsi="宋体" w:cs="宋体"/>
          <w:sz w:val="24"/>
        </w:rPr>
        <w:t>。</w:t>
      </w: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pStyle w:val="3"/>
        <w:adjustRightInd w:val="0"/>
        <w:snapToGrid w:val="0"/>
        <w:spacing w:before="0" w:after="0" w:line="360" w:lineRule="auto"/>
        <w:outlineLvl w:val="9"/>
        <w:rPr>
          <w:rFonts w:ascii="宋体" w:hAnsi="宋体" w:cs="宋体"/>
          <w:sz w:val="32"/>
          <w:szCs w:val="32"/>
        </w:rPr>
      </w:pPr>
    </w:p>
    <w:p>
      <w:pPr>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rPr>
          <w:rFonts w:ascii="宋体" w:hAnsi="宋体" w:cs="宋体"/>
          <w:sz w:val="32"/>
          <w:szCs w:val="32"/>
        </w:rPr>
      </w:pPr>
    </w:p>
    <w:p>
      <w:pPr>
        <w:pStyle w:val="50"/>
        <w:spacing w:before="120" w:after="120"/>
        <w:ind w:firstLine="0"/>
        <w:rPr>
          <w:rFonts w:ascii="宋体" w:hAnsi="宋体" w:cs="宋体"/>
          <w:sz w:val="32"/>
          <w:szCs w:val="32"/>
        </w:rPr>
      </w:pPr>
    </w:p>
    <w:p>
      <w:pPr>
        <w:pStyle w:val="3"/>
        <w:adjustRightInd w:val="0"/>
        <w:snapToGrid w:val="0"/>
        <w:spacing w:before="0" w:after="0" w:line="360" w:lineRule="auto"/>
        <w:jc w:val="center"/>
        <w:rPr>
          <w:rFonts w:ascii="宋体" w:hAnsi="宋体" w:cs="宋体"/>
        </w:rPr>
      </w:pPr>
      <w:bookmarkStart w:id="323" w:name="_Toc25090"/>
      <w:bookmarkStart w:id="324" w:name="_Toc3422"/>
      <w:bookmarkStart w:id="325" w:name="_Toc12483"/>
      <w:bookmarkStart w:id="326" w:name="_Toc29797"/>
      <w:r>
        <w:rPr>
          <w:rFonts w:hint="eastAsia" w:ascii="宋体" w:hAnsi="宋体" w:cs="宋体"/>
          <w:sz w:val="32"/>
          <w:szCs w:val="32"/>
        </w:rPr>
        <w:t>第四部分</w:t>
      </w:r>
      <w:bookmarkStart w:id="327" w:name="_Toc246928931"/>
      <w:r>
        <w:rPr>
          <w:rFonts w:hint="eastAsia" w:ascii="宋体" w:hAnsi="宋体" w:cs="宋体"/>
          <w:sz w:val="32"/>
          <w:szCs w:val="32"/>
        </w:rPr>
        <w:t xml:space="preserve">  合同</w:t>
      </w:r>
      <w:bookmarkEnd w:id="327"/>
      <w:r>
        <w:rPr>
          <w:rFonts w:hint="eastAsia" w:ascii="宋体" w:hAnsi="宋体" w:cs="宋体"/>
          <w:sz w:val="32"/>
          <w:szCs w:val="32"/>
        </w:rPr>
        <w:t>格式</w:t>
      </w:r>
      <w:bookmarkEnd w:id="308"/>
      <w:bookmarkEnd w:id="309"/>
      <w:bookmarkEnd w:id="310"/>
      <w:bookmarkEnd w:id="311"/>
      <w:bookmarkEnd w:id="312"/>
      <w:bookmarkEnd w:id="313"/>
      <w:bookmarkEnd w:id="314"/>
      <w:bookmarkEnd w:id="323"/>
      <w:bookmarkEnd w:id="324"/>
      <w:bookmarkEnd w:id="325"/>
      <w:bookmarkEnd w:id="326"/>
    </w:p>
    <w:p>
      <w:pPr>
        <w:pStyle w:val="3"/>
        <w:spacing w:before="0" w:after="0" w:line="480" w:lineRule="auto"/>
        <w:jc w:val="both"/>
        <w:rPr>
          <w:rFonts w:hint="eastAsia" w:ascii="宋体" w:hAnsi="宋体" w:cs="宋体"/>
          <w:color w:val="auto"/>
          <w:kern w:val="0"/>
          <w:sz w:val="24"/>
          <w:szCs w:val="24"/>
        </w:rPr>
      </w:pPr>
      <w:bookmarkStart w:id="328" w:name="_Toc29172"/>
      <w:bookmarkStart w:id="329" w:name="_Toc26164"/>
      <w:bookmarkStart w:id="330" w:name="_Toc17477"/>
      <w:bookmarkStart w:id="331" w:name="_Toc25786"/>
      <w:bookmarkStart w:id="332" w:name="_Toc2757"/>
      <w:bookmarkStart w:id="333" w:name="_Toc13877"/>
      <w:bookmarkStart w:id="334" w:name="_Toc6583"/>
      <w:r>
        <w:rPr>
          <w:rFonts w:hint="eastAsia" w:ascii="宋体" w:hAnsi="宋体" w:cs="宋体"/>
          <w:color w:val="auto"/>
          <w:kern w:val="0"/>
          <w:sz w:val="24"/>
          <w:szCs w:val="24"/>
        </w:rPr>
        <w:t>说明：本模版只为范例，最终以实际签订合同条款为准。</w:t>
      </w:r>
      <w:bookmarkEnd w:id="328"/>
      <w:bookmarkEnd w:id="329"/>
      <w:bookmarkEnd w:id="330"/>
      <w:bookmarkEnd w:id="331"/>
    </w:p>
    <w:p>
      <w:pPr>
        <w:pStyle w:val="21"/>
        <w:rPr>
          <w:rFonts w:hint="eastAsia" w:hAnsi="宋体" w:cs="宋体"/>
          <w:color w:val="auto"/>
          <w:kern w:val="0"/>
          <w:sz w:val="24"/>
          <w:szCs w:val="24"/>
        </w:rPr>
      </w:pPr>
    </w:p>
    <w:p>
      <w:pPr>
        <w:spacing w:line="320" w:lineRule="exact"/>
        <w:rPr>
          <w:rFonts w:hint="eastAsia" w:ascii="宋体" w:hAnsi="宋体" w:eastAsia="宋体" w:cs="宋体"/>
          <w:b/>
          <w:bCs/>
          <w:color w:val="auto"/>
          <w:kern w:val="0"/>
          <w:sz w:val="24"/>
          <w:szCs w:val="24"/>
          <w:lang w:val="en-US" w:eastAsia="zh-CN" w:bidi="ar-SA"/>
        </w:rPr>
      </w:pPr>
      <w:r>
        <w:rPr>
          <w:rFonts w:hint="eastAsia" w:ascii="宋体" w:hAnsi="宋体" w:eastAsia="宋体" w:cs="宋体"/>
          <w:b/>
          <w:bCs/>
          <w:color w:val="auto"/>
          <w:kern w:val="0"/>
          <w:sz w:val="24"/>
          <w:szCs w:val="24"/>
          <w:lang w:val="en-US" w:eastAsia="zh-CN" w:bidi="ar-SA"/>
        </w:rPr>
        <w:t>合同编号：</w:t>
      </w:r>
      <w:r>
        <w:rPr>
          <w:rFonts w:hint="eastAsia" w:ascii="宋体" w:hAnsi="宋体" w:eastAsia="宋体" w:cs="宋体"/>
          <w:b/>
          <w:bCs/>
          <w:color w:val="auto"/>
          <w:kern w:val="0"/>
          <w:sz w:val="24"/>
          <w:szCs w:val="24"/>
          <w:u w:val="single"/>
          <w:lang w:val="en-US" w:eastAsia="zh-CN" w:bidi="ar-SA"/>
        </w:rPr>
        <w:t xml:space="preserve"> SDFZHT2023040055               </w:t>
      </w:r>
      <w:r>
        <w:rPr>
          <w:rFonts w:hint="eastAsia" w:ascii="宋体" w:hAnsi="宋体" w:eastAsia="宋体" w:cs="宋体"/>
          <w:b/>
          <w:bCs/>
          <w:color w:val="auto"/>
          <w:kern w:val="0"/>
          <w:sz w:val="24"/>
          <w:szCs w:val="24"/>
          <w:lang w:val="en-US" w:eastAsia="zh-CN" w:bidi="ar-SA"/>
        </w:rPr>
        <w:t xml:space="preserve">    </w:t>
      </w:r>
    </w:p>
    <w:p>
      <w:pPr>
        <w:spacing w:before="312" w:beforeLines="100" w:after="312" w:afterLines="100" w:line="320" w:lineRule="exact"/>
        <w:jc w:val="center"/>
        <w:rPr>
          <w:rFonts w:ascii="宋体" w:hAnsi="宋体" w:eastAsia="宋体"/>
          <w:b/>
          <w:sz w:val="28"/>
          <w:szCs w:val="28"/>
        </w:rPr>
      </w:pPr>
      <w:r>
        <w:rPr>
          <w:rFonts w:hint="eastAsia" w:ascii="宋体" w:hAnsi="宋体" w:eastAsia="宋体"/>
          <w:b/>
          <w:sz w:val="28"/>
          <w:szCs w:val="28"/>
        </w:rPr>
        <w:t>服 务 采 购 合</w:t>
      </w:r>
      <w:r>
        <w:rPr>
          <w:rFonts w:ascii="宋体" w:hAnsi="宋体" w:eastAsia="宋体"/>
          <w:b/>
          <w:sz w:val="28"/>
          <w:szCs w:val="28"/>
        </w:rPr>
        <w:t xml:space="preserve"> </w:t>
      </w:r>
      <w:r>
        <w:rPr>
          <w:rFonts w:hint="eastAsia" w:ascii="宋体" w:hAnsi="宋体" w:eastAsia="宋体"/>
          <w:b/>
          <w:sz w:val="28"/>
          <w:szCs w:val="28"/>
        </w:rPr>
        <w:t>同</w:t>
      </w:r>
    </w:p>
    <w:tbl>
      <w:tblPr>
        <w:tblStyle w:val="41"/>
        <w:tblW w:w="0" w:type="auto"/>
        <w:jc w:val="center"/>
        <w:tblLayout w:type="autofit"/>
        <w:tblCellMar>
          <w:top w:w="0" w:type="dxa"/>
          <w:left w:w="108" w:type="dxa"/>
          <w:bottom w:w="0" w:type="dxa"/>
          <w:right w:w="108" w:type="dxa"/>
        </w:tblCellMar>
      </w:tblPr>
      <w:tblGrid>
        <w:gridCol w:w="4952"/>
        <w:gridCol w:w="4103"/>
      </w:tblGrid>
      <w:tr>
        <w:tblPrEx>
          <w:tblCellMar>
            <w:top w:w="0" w:type="dxa"/>
            <w:left w:w="108" w:type="dxa"/>
            <w:bottom w:w="0" w:type="dxa"/>
            <w:right w:w="108" w:type="dxa"/>
          </w:tblCellMar>
        </w:tblPrEx>
        <w:trPr>
          <w:trHeight w:val="454" w:hRule="atLeast"/>
          <w:jc w:val="center"/>
        </w:trPr>
        <w:tc>
          <w:tcPr>
            <w:tcW w:w="4961" w:type="dxa"/>
            <w:noWrap w:val="0"/>
            <w:vAlign w:val="top"/>
          </w:tcPr>
          <w:p>
            <w:pPr>
              <w:spacing w:line="360" w:lineRule="auto"/>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甲    方</w:t>
            </w:r>
          </w:p>
        </w:tc>
        <w:tc>
          <w:tcPr>
            <w:tcW w:w="4109" w:type="dxa"/>
            <w:noWrap w:val="0"/>
            <w:vAlign w:val="top"/>
          </w:tcPr>
          <w:p>
            <w:pPr>
              <w:spacing w:line="360" w:lineRule="auto"/>
              <w:jc w:val="center"/>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乙    方</w:t>
            </w:r>
          </w:p>
        </w:tc>
      </w:tr>
      <w:tr>
        <w:tblPrEx>
          <w:tblCellMar>
            <w:top w:w="0" w:type="dxa"/>
            <w:left w:w="108" w:type="dxa"/>
            <w:bottom w:w="0" w:type="dxa"/>
            <w:right w:w="108" w:type="dxa"/>
          </w:tblCellMar>
        </w:tblPrEx>
        <w:trPr>
          <w:trHeight w:val="454" w:hRule="atLeast"/>
          <w:jc w:val="center"/>
        </w:trPr>
        <w:tc>
          <w:tcPr>
            <w:tcW w:w="4961" w:type="dxa"/>
            <w:noWrap w:val="0"/>
            <w:vAlign w:val="top"/>
          </w:tcPr>
          <w:p>
            <w:pPr>
              <w:spacing w:line="360" w:lineRule="auto"/>
              <w:rPr>
                <w:rFonts w:hint="eastAsia" w:ascii="宋体" w:hAnsi="宋体" w:eastAsia="宋体" w:cs="宋体"/>
                <w:b/>
                <w:color w:val="000000"/>
                <w:kern w:val="0"/>
                <w:sz w:val="24"/>
                <w:szCs w:val="24"/>
              </w:rPr>
            </w:pPr>
            <w:r>
              <w:rPr>
                <w:rFonts w:hint="eastAsia" w:ascii="宋体" w:hAnsi="宋体" w:eastAsia="宋体" w:cs="宋体"/>
                <w:color w:val="000000"/>
                <w:kern w:val="0"/>
                <w:sz w:val="24"/>
                <w:szCs w:val="24"/>
              </w:rPr>
              <w:t>单位名称（盖章）：陕西师范大学附属中学</w:t>
            </w:r>
          </w:p>
        </w:tc>
        <w:tc>
          <w:tcPr>
            <w:tcW w:w="4109" w:type="dxa"/>
            <w:noWrap w:val="0"/>
            <w:vAlign w:val="top"/>
          </w:tcPr>
          <w:p>
            <w:pPr>
              <w:spacing w:line="360" w:lineRule="auto"/>
              <w:rPr>
                <w:rFonts w:hint="eastAsia" w:ascii="宋体" w:hAnsi="宋体" w:eastAsia="宋体" w:cs="宋体"/>
                <w:b/>
                <w:color w:val="000000"/>
                <w:kern w:val="0"/>
                <w:sz w:val="24"/>
                <w:szCs w:val="24"/>
              </w:rPr>
            </w:pPr>
            <w:r>
              <w:rPr>
                <w:rFonts w:hint="eastAsia" w:ascii="宋体" w:hAnsi="宋体" w:eastAsia="宋体" w:cs="宋体"/>
                <w:color w:val="000000"/>
                <w:kern w:val="0"/>
                <w:sz w:val="24"/>
                <w:szCs w:val="24"/>
              </w:rPr>
              <w:t>单位名称（盖章）：</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法定代表人或委托代理人：</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法定代表人或委托代理人（签字）：</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项目经办人：</w:t>
            </w:r>
          </w:p>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合同审核人：</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地址：</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地址：</w:t>
            </w:r>
            <w:r>
              <w:rPr>
                <w:rFonts w:hint="eastAsia" w:ascii="宋体" w:hAnsi="宋体" w:eastAsia="宋体" w:cs="宋体"/>
                <w:color w:val="000000"/>
                <w:kern w:val="2"/>
                <w:sz w:val="24"/>
                <w:szCs w:val="24"/>
              </w:rPr>
              <w:t xml:space="preserve"> </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税号：</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税号：</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开户行：</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kern w:val="2"/>
                <w:sz w:val="24"/>
                <w:szCs w:val="24"/>
              </w:rPr>
              <w:t xml:space="preserve"> </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账号：</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账号：</w:t>
            </w:r>
          </w:p>
        </w:tc>
        <w:tc>
          <w:tcPr>
            <w:tcW w:w="4109" w:type="dxa"/>
            <w:noWrap w:val="0"/>
            <w:vAlign w:val="center"/>
          </w:tcPr>
          <w:p>
            <w:pPr>
              <w:pStyle w:val="36"/>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Email：</w:t>
            </w:r>
          </w:p>
        </w:tc>
      </w:tr>
      <w:tr>
        <w:tblPrEx>
          <w:tblCellMar>
            <w:top w:w="0" w:type="dxa"/>
            <w:left w:w="108" w:type="dxa"/>
            <w:bottom w:w="0" w:type="dxa"/>
            <w:right w:w="108" w:type="dxa"/>
          </w:tblCellMar>
        </w:tblPrEx>
        <w:trPr>
          <w:trHeight w:val="454" w:hRule="atLeast"/>
          <w:jc w:val="center"/>
        </w:trPr>
        <w:tc>
          <w:tcPr>
            <w:tcW w:w="4961" w:type="dxa"/>
            <w:noWrap w:val="0"/>
            <w:vAlign w:val="center"/>
          </w:tcPr>
          <w:p>
            <w:pPr>
              <w:pStyle w:val="36"/>
              <w:spacing w:line="360" w:lineRule="auto"/>
              <w:ind w:firstLine="1440" w:firstLineChars="600"/>
              <w:rPr>
                <w:rFonts w:hint="eastAsia" w:ascii="宋体" w:hAnsi="宋体" w:eastAsia="宋体" w:cs="宋体"/>
                <w:color w:val="000000"/>
                <w:sz w:val="24"/>
                <w:szCs w:val="24"/>
              </w:rPr>
            </w:pPr>
            <w:r>
              <w:rPr>
                <w:rFonts w:hint="eastAsia" w:ascii="宋体" w:hAnsi="宋体" w:eastAsia="宋体" w:cs="宋体"/>
                <w:color w:val="000000"/>
                <w:sz w:val="24"/>
                <w:szCs w:val="24"/>
              </w:rPr>
              <w:t>年    月    日</w:t>
            </w:r>
          </w:p>
        </w:tc>
        <w:tc>
          <w:tcPr>
            <w:tcW w:w="4109" w:type="dxa"/>
            <w:noWrap w:val="0"/>
            <w:vAlign w:val="center"/>
          </w:tcPr>
          <w:p>
            <w:pPr>
              <w:pStyle w:val="36"/>
              <w:spacing w:line="360" w:lineRule="auto"/>
              <w:ind w:firstLine="1440" w:firstLineChars="600"/>
              <w:rPr>
                <w:rFonts w:hint="eastAsia" w:ascii="宋体" w:hAnsi="宋体" w:eastAsia="宋体" w:cs="宋体"/>
                <w:color w:val="000000"/>
                <w:sz w:val="24"/>
                <w:szCs w:val="24"/>
              </w:rPr>
            </w:pPr>
            <w:r>
              <w:rPr>
                <w:rFonts w:hint="eastAsia" w:ascii="宋体" w:hAnsi="宋体" w:eastAsia="宋体" w:cs="宋体"/>
                <w:color w:val="000000"/>
                <w:sz w:val="24"/>
                <w:szCs w:val="24"/>
              </w:rPr>
              <w:t>年    月    日</w:t>
            </w:r>
          </w:p>
        </w:tc>
      </w:tr>
    </w:tbl>
    <w:p>
      <w:pPr>
        <w:spacing w:before="156" w:beforeLines="5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为了维护甲、乙双方合法权益，根据《中华人民共和国民法典》和陕西师范大学</w:t>
      </w:r>
      <w:r>
        <w:rPr>
          <w:rFonts w:hint="eastAsia" w:ascii="宋体" w:hAnsi="宋体" w:eastAsia="宋体" w:cs="宋体"/>
          <w:sz w:val="24"/>
          <w:szCs w:val="24"/>
          <w:lang w:val="en-US" w:eastAsia="zh-CN"/>
        </w:rPr>
        <w:t>附属中学</w:t>
      </w:r>
      <w:r>
        <w:rPr>
          <w:rFonts w:hint="eastAsia" w:ascii="宋体" w:hAnsi="宋体" w:eastAsia="宋体" w:cs="宋体"/>
          <w:color w:val="FF0000"/>
          <w:sz w:val="24"/>
          <w:szCs w:val="24"/>
          <w:u w:val="single"/>
        </w:rPr>
        <w:t xml:space="preserve"> </w:t>
      </w:r>
      <w:r>
        <w:rPr>
          <w:rFonts w:hint="eastAsia" w:ascii="宋体" w:hAnsi="宋体" w:eastAsia="宋体" w:cs="宋体"/>
          <w:b/>
          <w:color w:val="FF0000"/>
          <w:sz w:val="24"/>
          <w:szCs w:val="24"/>
          <w:u w:val="single"/>
        </w:rPr>
        <w:t xml:space="preserve">项目名称 </w:t>
      </w:r>
      <w:r>
        <w:rPr>
          <w:rFonts w:hint="eastAsia" w:ascii="宋体" w:hAnsi="宋体" w:eastAsia="宋体" w:cs="宋体"/>
          <w:sz w:val="24"/>
          <w:szCs w:val="24"/>
        </w:rPr>
        <w:t>采购项目的采购结果，陕西师范大学</w:t>
      </w:r>
      <w:r>
        <w:rPr>
          <w:rFonts w:hint="eastAsia" w:ascii="宋体" w:hAnsi="宋体" w:eastAsia="宋体" w:cs="宋体"/>
          <w:sz w:val="24"/>
          <w:szCs w:val="24"/>
          <w:lang w:val="en-US" w:eastAsia="zh-CN"/>
        </w:rPr>
        <w:t>附属中学</w:t>
      </w:r>
      <w:r>
        <w:rPr>
          <w:rFonts w:hint="eastAsia" w:ascii="宋体" w:hAnsi="宋体" w:eastAsia="宋体" w:cs="宋体"/>
          <w:sz w:val="24"/>
          <w:szCs w:val="24"/>
        </w:rPr>
        <w:t>（甲方）与</w:t>
      </w:r>
      <w:r>
        <w:rPr>
          <w:rFonts w:hint="eastAsia" w:ascii="宋体" w:hAnsi="宋体" w:eastAsia="宋体" w:cs="宋体"/>
          <w:b/>
          <w:color w:val="FF0000"/>
          <w:sz w:val="24"/>
          <w:szCs w:val="24"/>
          <w:u w:val="single"/>
        </w:rPr>
        <w:t xml:space="preserve"> 公司名称 </w:t>
      </w:r>
      <w:r>
        <w:rPr>
          <w:rFonts w:hint="eastAsia" w:ascii="宋体" w:hAnsi="宋体" w:eastAsia="宋体" w:cs="宋体"/>
          <w:sz w:val="24"/>
          <w:szCs w:val="24"/>
        </w:rPr>
        <w:t>（乙方）经协商在平等自愿的基础上订立本合同。</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一、服务内容及标准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1．乙方同意向甲方提供以下服务内容及数量：</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color w:val="FF0000"/>
          <w:sz w:val="24"/>
          <w:szCs w:val="24"/>
          <w:u w:val="single"/>
        </w:rPr>
        <w:t>（注：可填“详见附件一《服务项目清单》”）。</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color w:val="000000"/>
          <w:kern w:val="0"/>
          <w:sz w:val="24"/>
          <w:szCs w:val="24"/>
        </w:rPr>
        <w:t>本项目</w:t>
      </w:r>
      <w:r>
        <w:rPr>
          <w:rFonts w:hint="eastAsia" w:ascii="宋体" w:hAnsi="宋体" w:eastAsia="宋体" w:cs="宋体"/>
          <w:color w:val="000000"/>
          <w:sz w:val="24"/>
          <w:szCs w:val="24"/>
        </w:rPr>
        <w:t>服务期限</w:t>
      </w:r>
      <w:r>
        <w:rPr>
          <w:rFonts w:hint="eastAsia" w:ascii="宋体" w:hAnsi="宋体" w:eastAsia="宋体" w:cs="宋体"/>
          <w:color w:val="000000"/>
          <w:kern w:val="0"/>
          <w:sz w:val="24"/>
          <w:szCs w:val="24"/>
        </w:rPr>
        <w:t>按以下第</w:t>
      </w:r>
      <w:r>
        <w:rPr>
          <w:rFonts w:hint="eastAsia" w:ascii="宋体" w:hAnsi="宋体" w:eastAsia="宋体" w:cs="宋体"/>
          <w:color w:val="FF0000"/>
          <w:kern w:val="0"/>
          <w:sz w:val="24"/>
          <w:szCs w:val="24"/>
          <w:u w:val="single"/>
        </w:rPr>
        <w:t xml:space="preserve"> </w:t>
      </w:r>
      <w:r>
        <w:rPr>
          <w:rFonts w:hint="eastAsia" w:ascii="宋体" w:hAnsi="宋体" w:eastAsia="宋体" w:cs="宋体"/>
          <w:color w:val="FF0000"/>
          <w:sz w:val="24"/>
          <w:szCs w:val="24"/>
          <w:u w:val="single"/>
        </w:rPr>
        <w:t>X</w:t>
      </w:r>
      <w:r>
        <w:rPr>
          <w:rFonts w:hint="eastAsia" w:ascii="宋体" w:hAnsi="宋体" w:eastAsia="宋体" w:cs="宋体"/>
          <w:color w:val="FF0000"/>
          <w:kern w:val="0"/>
          <w:sz w:val="24"/>
          <w:szCs w:val="24"/>
          <w:u w:val="single"/>
        </w:rPr>
        <w:t xml:space="preserve"> </w:t>
      </w:r>
      <w:r>
        <w:rPr>
          <w:rFonts w:hint="eastAsia" w:ascii="宋体" w:hAnsi="宋体" w:eastAsia="宋体" w:cs="宋体"/>
          <w:color w:val="000000"/>
          <w:kern w:val="0"/>
          <w:sz w:val="24"/>
          <w:szCs w:val="24"/>
        </w:rPr>
        <w:t>种方式确定</w:t>
      </w:r>
      <w:r>
        <w:rPr>
          <w:rFonts w:hint="eastAsia" w:ascii="宋体" w:hAnsi="宋体" w:eastAsia="宋体" w:cs="宋体"/>
          <w:color w:val="000000"/>
          <w:sz w:val="24"/>
          <w:szCs w:val="24"/>
        </w:rPr>
        <w:t>：</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w:t>
      </w:r>
      <w:r>
        <w:rPr>
          <w:rFonts w:hint="eastAsia" w:ascii="宋体" w:hAnsi="宋体" w:eastAsia="宋体" w:cs="宋体"/>
          <w:color w:val="000000"/>
          <w:kern w:val="0"/>
          <w:sz w:val="24"/>
          <w:szCs w:val="24"/>
        </w:rPr>
        <w:t>项目</w:t>
      </w:r>
      <w:r>
        <w:rPr>
          <w:rFonts w:hint="eastAsia" w:ascii="宋体" w:hAnsi="宋体" w:eastAsia="宋体" w:cs="宋体"/>
          <w:color w:val="000000"/>
          <w:sz w:val="24"/>
          <w:szCs w:val="24"/>
        </w:rPr>
        <w:t>服务期限为自合同签订之日起</w:t>
      </w:r>
      <w:r>
        <w:rPr>
          <w:rFonts w:hint="eastAsia" w:ascii="宋体" w:hAnsi="宋体" w:eastAsia="宋体" w:cs="宋体"/>
          <w:color w:val="FF0000"/>
          <w:sz w:val="24"/>
          <w:szCs w:val="24"/>
          <w:u w:val="single"/>
        </w:rPr>
        <w:t>XXX</w:t>
      </w:r>
      <w:r>
        <w:rPr>
          <w:rFonts w:hint="eastAsia" w:ascii="宋体" w:hAnsi="宋体" w:eastAsia="宋体" w:cs="宋体"/>
          <w:color w:val="000000"/>
          <w:sz w:val="24"/>
          <w:szCs w:val="24"/>
        </w:rPr>
        <w:t>天内。</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（2）本</w:t>
      </w:r>
      <w:r>
        <w:rPr>
          <w:rFonts w:hint="eastAsia" w:ascii="宋体" w:hAnsi="宋体" w:eastAsia="宋体" w:cs="宋体"/>
          <w:color w:val="000000"/>
          <w:kern w:val="0"/>
          <w:sz w:val="24"/>
          <w:szCs w:val="24"/>
        </w:rPr>
        <w:t>项目</w:t>
      </w:r>
      <w:r>
        <w:rPr>
          <w:rFonts w:hint="eastAsia" w:ascii="宋体" w:hAnsi="宋体" w:eastAsia="宋体" w:cs="宋体"/>
          <w:color w:val="000000"/>
          <w:sz w:val="24"/>
          <w:szCs w:val="24"/>
        </w:rPr>
        <w:t>服务期限为自合同签订之日起至</w:t>
      </w:r>
      <w:r>
        <w:rPr>
          <w:rFonts w:hint="eastAsia" w:ascii="宋体" w:hAnsi="宋体" w:eastAsia="宋体" w:cs="宋体"/>
          <w:color w:val="FF0000"/>
          <w:sz w:val="24"/>
          <w:szCs w:val="24"/>
          <w:u w:val="single"/>
        </w:rPr>
        <w:t>XXXX</w:t>
      </w:r>
      <w:r>
        <w:rPr>
          <w:rFonts w:hint="eastAsia" w:ascii="宋体" w:hAnsi="宋体" w:eastAsia="宋体" w:cs="宋体"/>
          <w:color w:val="000000"/>
          <w:sz w:val="24"/>
          <w:szCs w:val="24"/>
        </w:rPr>
        <w:t>年</w:t>
      </w:r>
      <w:r>
        <w:rPr>
          <w:rFonts w:hint="eastAsia" w:ascii="宋体" w:hAnsi="宋体" w:eastAsia="宋体" w:cs="宋体"/>
          <w:color w:val="FF0000"/>
          <w:sz w:val="24"/>
          <w:szCs w:val="24"/>
          <w:u w:val="single"/>
        </w:rPr>
        <w:t>XX</w:t>
      </w:r>
      <w:r>
        <w:rPr>
          <w:rFonts w:hint="eastAsia" w:ascii="宋体" w:hAnsi="宋体" w:eastAsia="宋体" w:cs="宋体"/>
          <w:color w:val="000000"/>
          <w:sz w:val="24"/>
          <w:szCs w:val="24"/>
        </w:rPr>
        <w:t>月</w:t>
      </w:r>
      <w:r>
        <w:rPr>
          <w:rFonts w:hint="eastAsia" w:ascii="宋体" w:hAnsi="宋体" w:eastAsia="宋体" w:cs="宋体"/>
          <w:color w:val="FF0000"/>
          <w:sz w:val="24"/>
          <w:szCs w:val="24"/>
          <w:u w:val="single"/>
        </w:rPr>
        <w:t>XX</w:t>
      </w:r>
      <w:r>
        <w:rPr>
          <w:rFonts w:hint="eastAsia" w:ascii="宋体" w:hAnsi="宋体" w:eastAsia="宋体" w:cs="宋体"/>
          <w:color w:val="000000"/>
          <w:sz w:val="24"/>
          <w:szCs w:val="24"/>
        </w:rPr>
        <w:t>日。</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3. 服务实施地点：</w:t>
      </w:r>
      <w:r>
        <w:rPr>
          <w:rFonts w:hint="eastAsia" w:ascii="宋体" w:hAnsi="宋体" w:eastAsia="宋体" w:cs="宋体"/>
          <w:color w:val="000000"/>
          <w:sz w:val="24"/>
          <w:szCs w:val="24"/>
          <w:u w:val="single"/>
        </w:rPr>
        <w:t xml:space="preserve">                                  。</w:t>
      </w:r>
    </w:p>
    <w:p>
      <w:pPr>
        <w:spacing w:line="360" w:lineRule="auto"/>
        <w:ind w:firstLine="480" w:firstLineChars="200"/>
        <w:rPr>
          <w:rFonts w:hint="eastAsia" w:ascii="宋体" w:hAnsi="宋体" w:eastAsia="宋体" w:cs="宋体"/>
          <w:b/>
          <w:color w:val="FF0000"/>
          <w:sz w:val="24"/>
          <w:szCs w:val="24"/>
          <w:u w:val="single"/>
        </w:rPr>
      </w:pPr>
      <w:r>
        <w:rPr>
          <w:rFonts w:hint="eastAsia" w:ascii="宋体" w:hAnsi="宋体" w:eastAsia="宋体" w:cs="宋体"/>
          <w:color w:val="000000"/>
          <w:sz w:val="24"/>
          <w:szCs w:val="24"/>
        </w:rPr>
        <w:t>4.</w:t>
      </w:r>
      <w:r>
        <w:rPr>
          <w:rFonts w:hint="eastAsia" w:ascii="宋体" w:hAnsi="宋体" w:eastAsia="宋体" w:cs="宋体"/>
          <w:sz w:val="24"/>
          <w:szCs w:val="24"/>
        </w:rPr>
        <w:t xml:space="preserve"> </w:t>
      </w:r>
      <w:r>
        <w:rPr>
          <w:rFonts w:hint="eastAsia" w:ascii="宋体" w:hAnsi="宋体" w:eastAsia="宋体" w:cs="宋体"/>
          <w:color w:val="000000"/>
          <w:sz w:val="24"/>
          <w:szCs w:val="24"/>
        </w:rPr>
        <w:t>联系人及电话：</w:t>
      </w:r>
      <w:r>
        <w:rPr>
          <w:rFonts w:hint="eastAsia" w:ascii="宋体" w:hAnsi="宋体" w:eastAsia="宋体" w:cs="宋体"/>
          <w:b/>
          <w:color w:val="FF0000"/>
          <w:sz w:val="24"/>
          <w:szCs w:val="24"/>
          <w:u w:val="single"/>
        </w:rPr>
        <w:t>甲方 姓名 联系电话；</w:t>
      </w:r>
      <w:r>
        <w:rPr>
          <w:rFonts w:hint="eastAsia" w:ascii="宋体" w:hAnsi="宋体" w:eastAsia="宋体" w:cs="宋体"/>
          <w:b/>
          <w:color w:val="FF0000"/>
          <w:sz w:val="24"/>
          <w:szCs w:val="24"/>
        </w:rPr>
        <w:t xml:space="preserve">       </w:t>
      </w:r>
      <w:r>
        <w:rPr>
          <w:rFonts w:hint="eastAsia" w:ascii="宋体" w:hAnsi="宋体" w:eastAsia="宋体" w:cs="宋体"/>
          <w:b/>
          <w:color w:val="FF0000"/>
          <w:sz w:val="24"/>
          <w:szCs w:val="24"/>
          <w:u w:val="single"/>
        </w:rPr>
        <w:t xml:space="preserve"> 乙方 姓名 联系电话。</w:t>
      </w:r>
    </w:p>
    <w:p>
      <w:pPr>
        <w:spacing w:line="360" w:lineRule="auto"/>
        <w:ind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二、合同金额及结算方式</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本合同为</w:t>
      </w:r>
      <w:r>
        <w:rPr>
          <w:rFonts w:hint="eastAsia" w:ascii="宋体" w:hAnsi="宋体" w:eastAsia="宋体" w:cs="宋体"/>
          <w:color w:val="000000"/>
          <w:kern w:val="0"/>
          <w:sz w:val="24"/>
          <w:szCs w:val="24"/>
        </w:rPr>
        <w:t>框架协议方式，</w:t>
      </w:r>
      <w:r>
        <w:rPr>
          <w:rFonts w:hint="eastAsia" w:ascii="宋体" w:hAnsi="宋体" w:eastAsia="宋体" w:cs="宋体"/>
          <w:color w:val="000000"/>
          <w:kern w:val="0"/>
          <w:sz w:val="24"/>
          <w:szCs w:val="24"/>
          <w:lang w:val="en-US" w:eastAsia="zh-CN"/>
        </w:rPr>
        <w:t>甲乙双方</w:t>
      </w:r>
      <w:r>
        <w:rPr>
          <w:rFonts w:hint="eastAsia" w:ascii="宋体" w:hAnsi="宋体" w:eastAsia="宋体" w:cs="宋体"/>
          <w:color w:val="000000"/>
          <w:kern w:val="0"/>
          <w:sz w:val="24"/>
          <w:szCs w:val="24"/>
        </w:rPr>
        <w:t>签订框架合同，</w:t>
      </w:r>
      <w:r>
        <w:rPr>
          <w:rFonts w:hint="eastAsia" w:ascii="宋体" w:hAnsi="宋体" w:eastAsia="宋体" w:cs="宋体"/>
          <w:color w:val="000000"/>
          <w:kern w:val="0"/>
          <w:sz w:val="24"/>
          <w:szCs w:val="24"/>
          <w:lang w:val="en-US" w:eastAsia="zh-CN"/>
        </w:rPr>
        <w:t>校内具体用户单位按照专业性原则、经济性原则，根据三家中标供应商的报价范围自主选择该项目的合作方，按照学校有关规定与该供应商签订委托代理合同，并支付相关费用</w:t>
      </w:r>
      <w:r>
        <w:rPr>
          <w:rFonts w:hint="eastAsia" w:ascii="宋体" w:hAnsi="宋体" w:eastAsia="宋体" w:cs="宋体"/>
          <w:color w:val="000000"/>
          <w:kern w:val="0"/>
          <w:sz w:val="24"/>
          <w:szCs w:val="24"/>
        </w:rPr>
        <w:t>，由各部门据实结算付款</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2．本合同按以下方式结算：</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据实结算，以人民币对公转账形式支付</w:t>
      </w:r>
      <w:r>
        <w:rPr>
          <w:rFonts w:hint="eastAsia" w:ascii="宋体" w:hAnsi="宋体" w:eastAsia="宋体" w:cs="宋体"/>
          <w:color w:val="000000"/>
          <w:kern w:val="0"/>
          <w:sz w:val="24"/>
          <w:szCs w:val="24"/>
        </w:rPr>
        <w:t>。</w:t>
      </w:r>
    </w:p>
    <w:p>
      <w:pPr>
        <w:spacing w:line="36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发票开票要求：</w:t>
      </w:r>
    </w:p>
    <w:p>
      <w:pPr>
        <w:spacing w:line="360" w:lineRule="auto"/>
        <w:ind w:firstLine="482" w:firstLineChars="200"/>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rPr>
        <w:t>单位名称：陕西师范大学</w:t>
      </w:r>
      <w:r>
        <w:rPr>
          <w:rFonts w:hint="eastAsia" w:ascii="宋体" w:hAnsi="宋体" w:eastAsia="宋体" w:cs="宋体"/>
          <w:b/>
          <w:color w:val="000000"/>
          <w:kern w:val="0"/>
          <w:sz w:val="24"/>
          <w:szCs w:val="24"/>
          <w:lang w:val="en-US" w:eastAsia="zh-CN"/>
        </w:rPr>
        <w:t>附属中学</w:t>
      </w:r>
    </w:p>
    <w:p>
      <w:pPr>
        <w:spacing w:line="36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纳税人识别号：12610000H04201049B</w:t>
      </w:r>
    </w:p>
    <w:p>
      <w:pPr>
        <w:spacing w:line="360" w:lineRule="auto"/>
        <w:ind w:firstLine="482" w:firstLineChars="200"/>
        <w:rPr>
          <w:rFonts w:hint="eastAsia" w:ascii="宋体" w:hAnsi="宋体" w:eastAsia="宋体" w:cs="宋体"/>
          <w:b/>
          <w:color w:val="000000"/>
          <w:kern w:val="0"/>
          <w:sz w:val="24"/>
          <w:szCs w:val="24"/>
          <w:lang w:val="en-US" w:eastAsia="zh-CN"/>
        </w:rPr>
      </w:pPr>
      <w:r>
        <w:rPr>
          <w:rFonts w:hint="eastAsia" w:ascii="宋体" w:hAnsi="宋体" w:eastAsia="宋体" w:cs="宋体"/>
          <w:b/>
          <w:color w:val="000000"/>
          <w:kern w:val="0"/>
          <w:sz w:val="24"/>
          <w:szCs w:val="24"/>
        </w:rPr>
        <w:t>地址、联系电话：陕西省西安市雁塔区翠华路115号  029-</w:t>
      </w:r>
      <w:r>
        <w:rPr>
          <w:rFonts w:hint="eastAsia" w:ascii="宋体" w:hAnsi="宋体" w:eastAsia="宋体" w:cs="宋体"/>
          <w:b/>
          <w:color w:val="000000"/>
          <w:kern w:val="0"/>
          <w:sz w:val="24"/>
          <w:szCs w:val="24"/>
          <w:lang w:val="en-US" w:eastAsia="zh-CN"/>
        </w:rPr>
        <w:t>85251501</w:t>
      </w:r>
    </w:p>
    <w:p>
      <w:pPr>
        <w:spacing w:line="360" w:lineRule="auto"/>
        <w:ind w:firstLine="482" w:firstLineChars="200"/>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开户行、账号： 工行小寨支行3700021609088101764</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kern w:val="0"/>
          <w:sz w:val="24"/>
          <w:szCs w:val="24"/>
        </w:rPr>
        <w:t>3.</w:t>
      </w:r>
      <w:r>
        <w:rPr>
          <w:rFonts w:hint="eastAsia" w:ascii="宋体" w:hAnsi="宋体" w:eastAsia="宋体" w:cs="宋体"/>
          <w:sz w:val="24"/>
          <w:szCs w:val="24"/>
        </w:rPr>
        <w:t>本合同质量保证期履约保证金按以下第</w:t>
      </w:r>
      <w:r>
        <w:rPr>
          <w:rFonts w:hint="eastAsia" w:ascii="宋体" w:hAnsi="宋体" w:eastAsia="宋体" w:cs="宋体"/>
          <w:color w:val="FF0000"/>
          <w:sz w:val="24"/>
          <w:szCs w:val="24"/>
          <w:u w:val="single"/>
        </w:rPr>
        <w:t xml:space="preserve"> X </w:t>
      </w:r>
      <w:r>
        <w:rPr>
          <w:rFonts w:hint="eastAsia" w:ascii="宋体" w:hAnsi="宋体" w:eastAsia="宋体" w:cs="宋体"/>
          <w:sz w:val="24"/>
          <w:szCs w:val="24"/>
        </w:rPr>
        <w:t>种方式执行：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（1）本项目无质量保证期，无履约保证金。</w:t>
      </w: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sz w:val="24"/>
          <w:szCs w:val="24"/>
        </w:rPr>
        <w:t>（2）</w:t>
      </w:r>
      <w:r>
        <w:rPr>
          <w:rFonts w:hint="eastAsia" w:ascii="宋体" w:hAnsi="宋体" w:eastAsia="宋体" w:cs="宋体"/>
          <w:color w:val="000000"/>
          <w:kern w:val="0"/>
          <w:sz w:val="24"/>
          <w:szCs w:val="24"/>
        </w:rPr>
        <w:t>本项目质量保证期履约保证金为合同总额的</w:t>
      </w:r>
      <w:r>
        <w:rPr>
          <w:rFonts w:hint="eastAsia" w:ascii="宋体" w:hAnsi="宋体" w:eastAsia="宋体" w:cs="宋体"/>
          <w:sz w:val="24"/>
          <w:szCs w:val="24"/>
        </w:rPr>
        <w:t>5</w:t>
      </w:r>
      <w:r>
        <w:rPr>
          <w:rFonts w:hint="eastAsia" w:ascii="宋体" w:hAnsi="宋体" w:eastAsia="宋体" w:cs="宋体"/>
          <w:color w:val="000000"/>
          <w:kern w:val="0"/>
          <w:sz w:val="24"/>
          <w:szCs w:val="24"/>
        </w:rPr>
        <w:t>%。合同签订后3日内，乙方向甲方足额交付履约保证金；履约保证金的交付作为本合同服务费用末次支付的依据。本项目质量保证期为服务期结束后</w:t>
      </w:r>
      <w:r>
        <w:rPr>
          <w:rFonts w:hint="eastAsia" w:ascii="宋体" w:hAnsi="宋体" w:eastAsia="宋体" w:cs="宋体"/>
          <w:color w:val="FF0000"/>
          <w:kern w:val="0"/>
          <w:sz w:val="24"/>
          <w:szCs w:val="24"/>
          <w:u w:val="single"/>
        </w:rPr>
        <w:t xml:space="preserve"> </w:t>
      </w:r>
      <w:r>
        <w:rPr>
          <w:rFonts w:hint="eastAsia" w:ascii="宋体" w:hAnsi="宋体" w:eastAsia="宋体" w:cs="宋体"/>
          <w:b/>
          <w:color w:val="FF0000"/>
          <w:kern w:val="0"/>
          <w:sz w:val="24"/>
          <w:szCs w:val="24"/>
          <w:u w:val="single"/>
        </w:rPr>
        <w:t>XX日/月/年</w:t>
      </w:r>
      <w:r>
        <w:rPr>
          <w:rFonts w:hint="eastAsia" w:ascii="宋体" w:hAnsi="宋体" w:eastAsia="宋体" w:cs="宋体"/>
          <w:color w:val="FF0000"/>
          <w:kern w:val="0"/>
          <w:sz w:val="24"/>
          <w:szCs w:val="24"/>
          <w:u w:val="single"/>
        </w:rPr>
        <w:t xml:space="preserve"> </w:t>
      </w:r>
      <w:r>
        <w:rPr>
          <w:rFonts w:hint="eastAsia" w:ascii="宋体" w:hAnsi="宋体" w:eastAsia="宋体" w:cs="宋体"/>
          <w:color w:val="000000"/>
          <w:kern w:val="0"/>
          <w:sz w:val="24"/>
          <w:szCs w:val="24"/>
        </w:rPr>
        <w:t>。质量保证期满，经甲方对乙方质量保证期的服务质量验收合格后，一次性退还履约保证金，履约保证金不计利息；质量保证期满后六个月内，若乙方未向甲方提出对质量保证期服务质量进行验收的申请，视为乙方自动放弃履约保证金，甲方不再受理退还手续，履约保证金可由甲方自行处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kern w:val="0"/>
          <w:sz w:val="24"/>
          <w:szCs w:val="24"/>
        </w:rPr>
        <w:t>4.甲方和乙方应以书面方式相互通知各方的开户银行、账户名称、账号。开户银行、账户名称、账号如有变更，变更一方应在合同规定的相关付款期限前二十天内以书面方式通知对方，如未按时通知或通知有误而影响结算者，所产生的责任及损失自行承担。</w:t>
      </w:r>
    </w:p>
    <w:p>
      <w:pPr>
        <w:spacing w:line="360" w:lineRule="auto"/>
        <w:ind w:firstLine="482" w:firstLineChars="200"/>
        <w:rPr>
          <w:rFonts w:hint="eastAsia" w:ascii="宋体" w:hAnsi="宋体" w:eastAsia="宋体" w:cs="宋体"/>
          <w:color w:val="000000"/>
          <w:sz w:val="24"/>
          <w:szCs w:val="24"/>
        </w:rPr>
      </w:pPr>
      <w:r>
        <w:rPr>
          <w:rFonts w:hint="eastAsia" w:ascii="宋体" w:hAnsi="宋体" w:eastAsia="宋体" w:cs="宋体"/>
          <w:b/>
          <w:sz w:val="24"/>
          <w:szCs w:val="24"/>
        </w:rPr>
        <w:t>三、服务质量保证</w:t>
      </w:r>
    </w:p>
    <w:p>
      <w:pPr>
        <w:pStyle w:val="129"/>
        <w:widowControl w:val="0"/>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按照本合同前款所述的服务时间、地点、内容、数量和质量等要求向甲方提供服务，在服务期限内，若乙方提供的服务未达到约定的数量、质量等标准，应当及时更换、补齐或提升服务质量水平至本合同要求的标准。</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2.乙方根据甲方提供的场地、设施或材料等条件完成服务内容。乙方保证所提供的服务必须符合本合同服务项目质量标准要求及相关的国家标准、行业标准、地方标准或者其他标准、规范，标准不一致的，按照较高的标准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如果乙方工作人员在服务中，未尽安全义务，有可能出现伤害自身或威胁到他人生命、财产安全的情况，甲方以及相关人员有权立即要求中止服务，由此产生的一切费用及损失由乙方自行承担，甲方不承担任何责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5.乙方应确保向甲方提供服务的过程中不存在侵犯甲方或第三方知识产权、名誉权、隐私权等合法权利的情况，保证甲方免受任何第三方主张任何权利。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6.质量保证期内，乙方负责对本项目中所含货物类产品免费提供维护、维修或更换，包括设备维修所需的零配件及不能解决的故障需要返回</w:t>
      </w:r>
      <w:r>
        <w:rPr>
          <w:rFonts w:hint="eastAsia" w:ascii="宋体" w:hAnsi="宋体" w:eastAsia="宋体" w:cs="宋体"/>
          <w:sz w:val="24"/>
          <w:szCs w:val="24"/>
          <w:lang w:eastAsia="zh-CN"/>
        </w:rPr>
        <w:t>制作</w:t>
      </w:r>
      <w:r>
        <w:rPr>
          <w:rFonts w:hint="eastAsia" w:ascii="宋体" w:hAnsi="宋体" w:eastAsia="宋体" w:cs="宋体"/>
          <w:sz w:val="24"/>
          <w:szCs w:val="24"/>
        </w:rPr>
        <w:t>厂家维修时所发生的一切费用。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7.服务期内乙方未在约定时间内做出服务响应的，甲方有权安排第三方提供服务，由此产生的费用从履约保证金扣除，超出履约保证金部分或未交纳履约保证金的，乙方应按照实际费用补齐。</w:t>
      </w:r>
    </w:p>
    <w:p>
      <w:pPr>
        <w:spacing w:line="360" w:lineRule="auto"/>
        <w:ind w:left="556"/>
        <w:rPr>
          <w:rFonts w:hint="eastAsia" w:ascii="宋体" w:hAnsi="宋体" w:eastAsia="宋体" w:cs="宋体"/>
          <w:b/>
          <w:sz w:val="24"/>
          <w:szCs w:val="24"/>
        </w:rPr>
      </w:pPr>
      <w:r>
        <w:rPr>
          <w:rFonts w:hint="eastAsia" w:ascii="宋体" w:hAnsi="宋体" w:eastAsia="宋体" w:cs="宋体"/>
          <w:b/>
          <w:sz w:val="24"/>
          <w:szCs w:val="24"/>
        </w:rPr>
        <w:t>四、项目验收</w:t>
      </w: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1．服务验收标准：</w:t>
      </w:r>
    </w:p>
    <w:p>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r>
        <w:rPr>
          <w:rFonts w:hint="eastAsia" w:ascii="宋体" w:hAnsi="宋体" w:eastAsia="宋体" w:cs="宋体"/>
          <w:color w:val="FF0000"/>
          <w:sz w:val="24"/>
          <w:szCs w:val="24"/>
          <w:u w:val="single"/>
        </w:rPr>
        <w:t>（注：可填“详见附件二《服务验收标准》”）</w:t>
      </w:r>
      <w:r>
        <w:rPr>
          <w:rFonts w:hint="eastAsia" w:ascii="宋体" w:hAnsi="宋体" w:eastAsia="宋体" w:cs="宋体"/>
          <w:color w:val="000000"/>
          <w:sz w:val="24"/>
          <w:szCs w:val="24"/>
          <w:u w:val="single"/>
        </w:rPr>
        <w:t xml:space="preserve">     。</w:t>
      </w:r>
    </w:p>
    <w:p>
      <w:pPr>
        <w:pStyle w:val="129"/>
        <w:widowControl w:val="0"/>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2.服务完毕</w:t>
      </w:r>
      <w:r>
        <w:rPr>
          <w:rFonts w:hint="eastAsia" w:ascii="宋体" w:hAnsi="宋体" w:eastAsia="宋体" w:cs="宋体"/>
          <w:color w:val="FF0000"/>
          <w:sz w:val="24"/>
          <w:szCs w:val="24"/>
          <w:u w:val="single"/>
        </w:rPr>
        <w:t xml:space="preserve"> </w:t>
      </w:r>
      <w:r>
        <w:rPr>
          <w:rFonts w:hint="eastAsia" w:ascii="宋体" w:hAnsi="宋体" w:eastAsia="宋体" w:cs="宋体"/>
          <w:b/>
          <w:color w:val="FF0000"/>
          <w:sz w:val="24"/>
          <w:szCs w:val="24"/>
          <w:u w:val="single"/>
        </w:rPr>
        <w:t xml:space="preserve">XX </w:t>
      </w:r>
      <w:r>
        <w:rPr>
          <w:rFonts w:hint="eastAsia" w:ascii="宋体" w:hAnsi="宋体" w:eastAsia="宋体" w:cs="宋体"/>
          <w:color w:val="000000"/>
          <w:sz w:val="24"/>
          <w:szCs w:val="24"/>
        </w:rPr>
        <w:t>天后乙方可向甲方项目单位提出书面验收申请，甲方按照《陕西师范大学物资设备采购履约验收工作细则》规定的验收权限组织人员对服务项目进行验收，验收标准以本合同的有关规定和采购文件（如有）、投标文件（如有）相关内容为依据。</w:t>
      </w:r>
    </w:p>
    <w:p>
      <w:pPr>
        <w:pStyle w:val="129"/>
        <w:widowControl w:val="0"/>
        <w:spacing w:before="0" w:beforeAutospacing="0" w:after="0" w:afterAutospacing="0" w:line="360" w:lineRule="auto"/>
        <w:ind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rPr>
        <w:t>3.如乙方对验收结果有异议，可向甲方所在地质检部门提请进行复检，复检发生的费用由乙方承担。</w:t>
      </w:r>
    </w:p>
    <w:p>
      <w:pPr>
        <w:spacing w:line="360" w:lineRule="auto"/>
        <w:ind w:left="555"/>
        <w:rPr>
          <w:rFonts w:hint="eastAsia" w:ascii="宋体" w:hAnsi="宋体" w:eastAsia="宋体" w:cs="宋体"/>
          <w:b/>
          <w:color w:val="000000"/>
          <w:sz w:val="24"/>
          <w:szCs w:val="24"/>
        </w:rPr>
      </w:pPr>
      <w:r>
        <w:rPr>
          <w:rFonts w:hint="eastAsia" w:ascii="宋体" w:hAnsi="宋体" w:eastAsia="宋体" w:cs="宋体"/>
          <w:b/>
          <w:color w:val="000000"/>
          <w:sz w:val="24"/>
          <w:szCs w:val="24"/>
        </w:rPr>
        <w:t>五、违约责任</w:t>
      </w:r>
    </w:p>
    <w:p>
      <w:pPr>
        <w:spacing w:line="360" w:lineRule="auto"/>
        <w:ind w:firstLine="561"/>
        <w:rPr>
          <w:rFonts w:hint="eastAsia" w:ascii="宋体" w:hAnsi="宋体" w:eastAsia="宋体" w:cs="宋体"/>
          <w:color w:val="000000"/>
          <w:sz w:val="24"/>
          <w:szCs w:val="24"/>
        </w:rPr>
      </w:pPr>
      <w:r>
        <w:rPr>
          <w:rFonts w:hint="eastAsia" w:ascii="宋体" w:hAnsi="宋体" w:eastAsia="宋体" w:cs="宋体"/>
          <w:color w:val="000000"/>
          <w:sz w:val="24"/>
          <w:szCs w:val="24"/>
        </w:rPr>
        <w:t>1.合同生效后，甲乙双方应按合同规定认真履约。合同履约责任只涉及合同甲乙双方，不考虑第三方因素。</w:t>
      </w:r>
    </w:p>
    <w:p>
      <w:pPr>
        <w:spacing w:line="360" w:lineRule="auto"/>
        <w:ind w:firstLine="561"/>
        <w:rPr>
          <w:rFonts w:hint="eastAsia" w:ascii="宋体" w:hAnsi="宋体" w:eastAsia="宋体" w:cs="宋体"/>
          <w:sz w:val="24"/>
          <w:szCs w:val="24"/>
        </w:rPr>
      </w:pPr>
      <w:r>
        <w:rPr>
          <w:rFonts w:hint="eastAsia" w:ascii="宋体" w:hAnsi="宋体" w:eastAsia="宋体" w:cs="宋体"/>
          <w:color w:val="000000"/>
          <w:sz w:val="24"/>
          <w:szCs w:val="24"/>
        </w:rPr>
        <w:t>2.乙方若因非不可抗力因素无法按时提供服务，乙方应从要求最迟服务起始日期的</w:t>
      </w:r>
      <w:r>
        <w:rPr>
          <w:rFonts w:hint="eastAsia" w:ascii="宋体" w:hAnsi="宋体" w:eastAsia="宋体" w:cs="宋体"/>
          <w:sz w:val="24"/>
          <w:szCs w:val="24"/>
        </w:rPr>
        <w:t>次日起，每日向甲方支付延迟交货部分货款的千分之一的违约金，此项违约金额以本合同服务费总值的百分之五为限度。</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3.除不可抗力原因外，如遇下列情况之一者，甲方有权单方面终止合同，并追究乙方的相关责任：（1）合同签订后不能按合同时限要求提供服务；（2）所供服务不合格或与合同不符；（3）不能按合同履约；（4）履约验收不合格；（5）甲方要求乙方提供服务，经甲方要求24小时内无响应，48小时内不能提供服务方案或服务的，经甲方催促后仍不能整改或提供服务不达标的，甲方有权单方解除合同。</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4.乙方对所供服务出现的问题推托、拖延，未在约定时间内做出服务响应的，每逾期一日按合同总金额百分之一支付违约金</w:t>
      </w:r>
      <w:r>
        <w:rPr>
          <w:rFonts w:hint="eastAsia" w:ascii="宋体" w:hAnsi="宋体" w:eastAsia="宋体" w:cs="宋体"/>
          <w:color w:val="000000"/>
          <w:kern w:val="0"/>
          <w:sz w:val="24"/>
          <w:szCs w:val="24"/>
        </w:rPr>
        <w:t>，此项违约金额以货款总值的百分之十为限度</w:t>
      </w:r>
      <w:r>
        <w:rPr>
          <w:rFonts w:hint="eastAsia" w:ascii="宋体" w:hAnsi="宋体" w:eastAsia="宋体" w:cs="宋体"/>
          <w:sz w:val="24"/>
          <w:szCs w:val="24"/>
        </w:rPr>
        <w:t>。</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5.合同履约过程中，甲方应积极配合乙方进行验收以及验收前的外围配套等工作，否则因此导致服务不能按期验收时，不能追究乙方责任。</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6. 甲方应在服务验收合格后15天内按规定向乙方付款，最长时间不能超过30天，否则，甲方应从验收合格30天后次日起，每日向乙方偿付逾期付款部分总值的千分之一的违约金，此项违约金额以逾期付款部分总值的百分之五为限度。付款前乙方应向甲方出具符合甲方要求的正规发票。</w:t>
      </w:r>
    </w:p>
    <w:p>
      <w:pPr>
        <w:spacing w:line="360" w:lineRule="auto"/>
        <w:ind w:left="555"/>
        <w:rPr>
          <w:rFonts w:hint="eastAsia" w:ascii="宋体" w:hAnsi="宋体" w:eastAsia="宋体" w:cs="宋体"/>
          <w:b/>
          <w:sz w:val="24"/>
          <w:szCs w:val="24"/>
        </w:rPr>
      </w:pPr>
      <w:r>
        <w:rPr>
          <w:rFonts w:hint="eastAsia" w:ascii="宋体" w:hAnsi="宋体" w:eastAsia="宋体" w:cs="宋体"/>
          <w:b/>
          <w:sz w:val="24"/>
          <w:szCs w:val="24"/>
        </w:rPr>
        <w:t>六、不可抗力</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1.不可抗力是指本合同生效后，发生合同订立时不能预见、不能避免，并不能克服的客观情况，如地震、台风、水灾、战争等，致使直接影响本合同的履行或不能按约定的条件履行。</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2.发生不可抗力的一方应立即通知对方，并在十五天内提供不可抗力的详情及将有关证明文件送交对方。</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3.发生不可抗力事件时，甲乙双方应协商以寻找合理的解决方法，双方不可放任不可抗力事件损害后果。</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4.如不可抗力事件持续三十天时，甲乙双方应友好协商解决本合同是否继续履行或终止的问题。</w:t>
      </w:r>
    </w:p>
    <w:p>
      <w:pPr>
        <w:spacing w:line="360" w:lineRule="auto"/>
        <w:ind w:firstLine="561"/>
        <w:rPr>
          <w:rFonts w:hint="eastAsia" w:ascii="宋体" w:hAnsi="宋体" w:eastAsia="宋体" w:cs="宋体"/>
          <w:b/>
          <w:color w:val="000000"/>
          <w:sz w:val="24"/>
          <w:szCs w:val="24"/>
        </w:rPr>
      </w:pPr>
      <w:r>
        <w:rPr>
          <w:rFonts w:hint="eastAsia" w:ascii="宋体" w:hAnsi="宋体" w:eastAsia="宋体" w:cs="宋体"/>
          <w:b/>
          <w:color w:val="000000"/>
          <w:sz w:val="24"/>
          <w:szCs w:val="24"/>
        </w:rPr>
        <w:t>七、合同生效与终止</w:t>
      </w:r>
    </w:p>
    <w:p>
      <w:pPr>
        <w:spacing w:line="360" w:lineRule="auto"/>
        <w:ind w:firstLine="561"/>
        <w:rPr>
          <w:rFonts w:hint="eastAsia" w:ascii="宋体" w:hAnsi="宋体" w:eastAsia="宋体" w:cs="宋体"/>
          <w:color w:val="000000"/>
          <w:sz w:val="24"/>
          <w:szCs w:val="24"/>
        </w:rPr>
      </w:pPr>
      <w:r>
        <w:rPr>
          <w:rFonts w:hint="eastAsia" w:ascii="宋体" w:hAnsi="宋体" w:eastAsia="宋体" w:cs="宋体"/>
          <w:color w:val="000000"/>
          <w:sz w:val="24"/>
          <w:szCs w:val="24"/>
        </w:rPr>
        <w:t>1.本合同自甲乙双方签字且盖章之日起生效。本合同双方法定代表人或委托代理人签字并加盖单位公章之日即为本合同的生效日期。如双方签字日期不一致时，以最后签字方的签字日期为合同的生效日期。</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2.本合同的最终质量保证期限届满日期，即为本合同的终止日期。但保密条款、争议解决和双方未了的债权和债务不受合同期满的影响，并且守约方有权提出索赔。</w:t>
      </w:r>
    </w:p>
    <w:p>
      <w:pPr>
        <w:spacing w:line="360" w:lineRule="auto"/>
        <w:ind w:firstLine="561"/>
        <w:rPr>
          <w:rFonts w:hint="eastAsia" w:ascii="宋体" w:hAnsi="宋体" w:eastAsia="宋体" w:cs="宋体"/>
          <w:sz w:val="24"/>
          <w:szCs w:val="24"/>
        </w:rPr>
      </w:pPr>
      <w:r>
        <w:rPr>
          <w:rFonts w:hint="eastAsia" w:ascii="宋体" w:hAnsi="宋体" w:eastAsia="宋体" w:cs="宋体"/>
          <w:sz w:val="24"/>
          <w:szCs w:val="24"/>
        </w:rPr>
        <w:t>3.如乙方未能全面履行合同所有条款，甲方有权单方面解除合同，不退还乙方所交履约保证金（如有），以此作为对甲方的赔偿，并保留追究相关责任的权利。</w:t>
      </w:r>
    </w:p>
    <w:p>
      <w:pPr>
        <w:spacing w:line="360" w:lineRule="auto"/>
        <w:ind w:firstLine="561"/>
        <w:rPr>
          <w:rFonts w:hint="eastAsia" w:ascii="宋体" w:hAnsi="宋体" w:eastAsia="宋体" w:cs="宋体"/>
          <w:b/>
          <w:sz w:val="24"/>
          <w:szCs w:val="24"/>
        </w:rPr>
      </w:pPr>
      <w:r>
        <w:rPr>
          <w:rFonts w:hint="eastAsia" w:ascii="宋体" w:hAnsi="宋体" w:eastAsia="宋体" w:cs="宋体"/>
          <w:b/>
          <w:sz w:val="24"/>
          <w:szCs w:val="24"/>
        </w:rPr>
        <w:t>八、争议解决方式</w:t>
      </w:r>
    </w:p>
    <w:p>
      <w:pPr>
        <w:pStyle w:val="36"/>
        <w:keepNext w:val="0"/>
        <w:keepLines w:val="0"/>
        <w:pageBreakBefore w:val="0"/>
        <w:widowControl/>
        <w:kinsoku/>
        <w:wordWrap w:val="0"/>
        <w:overflowPunct/>
        <w:topLinePunct w:val="0"/>
        <w:autoSpaceDE/>
        <w:autoSpaceDN/>
        <w:bidi w:val="0"/>
        <w:adjustRightInd/>
        <w:snapToGrid/>
        <w:spacing w:line="360" w:lineRule="auto"/>
        <w:ind w:firstLine="537" w:firstLineChars="224"/>
        <w:textAlignment w:val="auto"/>
        <w:rPr>
          <w:rFonts w:hint="eastAsia" w:ascii="宋体" w:hAnsi="宋体" w:eastAsia="宋体" w:cs="宋体"/>
          <w:sz w:val="24"/>
          <w:szCs w:val="24"/>
        </w:rPr>
      </w:pPr>
      <w:r>
        <w:rPr>
          <w:rFonts w:hint="eastAsia" w:ascii="宋体" w:hAnsi="宋体" w:eastAsia="宋体" w:cs="宋体"/>
          <w:sz w:val="24"/>
          <w:szCs w:val="24"/>
        </w:rPr>
        <w:t>如有纠纷双方先行协商解决；达不成协议的向陕西省西安市雁塔区人民法院提起诉讼。</w:t>
      </w:r>
    </w:p>
    <w:p>
      <w:pPr>
        <w:spacing w:line="360" w:lineRule="auto"/>
        <w:ind w:firstLine="561"/>
        <w:rPr>
          <w:rFonts w:hint="eastAsia" w:ascii="宋体" w:hAnsi="宋体" w:eastAsia="宋体" w:cs="宋体"/>
          <w:b/>
          <w:color w:val="000000"/>
          <w:sz w:val="24"/>
          <w:szCs w:val="24"/>
        </w:rPr>
      </w:pPr>
      <w:r>
        <w:rPr>
          <w:rFonts w:hint="eastAsia" w:ascii="宋体" w:hAnsi="宋体" w:eastAsia="宋体" w:cs="宋体"/>
          <w:b/>
          <w:color w:val="000000"/>
          <w:sz w:val="24"/>
          <w:szCs w:val="24"/>
        </w:rPr>
        <w:t>九、其它事项</w:t>
      </w:r>
    </w:p>
    <w:p>
      <w:pPr>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1.在本合同执行过程中，甲、乙双方协商签订的补充合同与原合同具有同等法律效力。采购文件及其补遗文件、投标文件和有关说明承诺（若有）是本合同不可分割的部分，为本合同的重要补充内容，与本合同具有同等法律效力。</w:t>
      </w:r>
    </w:p>
    <w:p>
      <w:pPr>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2.未尽事宜，双方协商解决。</w:t>
      </w:r>
    </w:p>
    <w:p>
      <w:pPr>
        <w:spacing w:line="360" w:lineRule="auto"/>
        <w:ind w:firstLine="600" w:firstLineChars="25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3.合同签订地点、履行地点：西安  陕西师范大学</w:t>
      </w:r>
      <w:r>
        <w:rPr>
          <w:rFonts w:hint="eastAsia" w:ascii="宋体" w:hAnsi="宋体" w:eastAsia="宋体" w:cs="宋体"/>
          <w:color w:val="000000"/>
          <w:sz w:val="24"/>
          <w:szCs w:val="24"/>
          <w:lang w:val="en-US" w:eastAsia="zh-CN"/>
        </w:rPr>
        <w:t>附属中学</w:t>
      </w:r>
    </w:p>
    <w:p>
      <w:pPr>
        <w:pStyle w:val="50"/>
        <w:spacing w:before="120" w:after="120"/>
      </w:pPr>
      <w:r>
        <w:rPr>
          <w:rFonts w:hint="eastAsia" w:ascii="宋体" w:hAnsi="宋体" w:eastAsia="宋体" w:cs="宋体"/>
          <w:color w:val="000000"/>
          <w:sz w:val="24"/>
          <w:szCs w:val="24"/>
        </w:rPr>
        <w:t>4.本合同一式</w:t>
      </w:r>
      <w:r>
        <w:rPr>
          <w:rFonts w:hint="eastAsia" w:ascii="宋体" w:hAnsi="宋体" w:eastAsia="宋体" w:cs="宋体"/>
          <w:color w:val="000000"/>
          <w:sz w:val="24"/>
          <w:szCs w:val="24"/>
          <w:u w:val="single"/>
        </w:rPr>
        <w:t>6</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4</w:t>
      </w:r>
      <w:r>
        <w:rPr>
          <w:rFonts w:hint="eastAsia" w:ascii="宋体" w:hAnsi="宋体" w:eastAsia="宋体" w:cs="宋体"/>
          <w:color w:val="000000"/>
          <w:sz w:val="24"/>
          <w:szCs w:val="24"/>
        </w:rPr>
        <w:t>份（承办部门1份，归口管理部门备案1份，财务部门结算1份，档案管理部门存档1份），乙方执</w:t>
      </w:r>
      <w:r>
        <w:rPr>
          <w:rFonts w:hint="eastAsia" w:ascii="宋体" w:hAnsi="宋体" w:eastAsia="宋体" w:cs="宋体"/>
          <w:color w:val="000000"/>
          <w:sz w:val="24"/>
          <w:szCs w:val="24"/>
          <w:u w:val="single"/>
        </w:rPr>
        <w:t>2</w:t>
      </w:r>
      <w:r>
        <w:rPr>
          <w:rFonts w:hint="eastAsia" w:ascii="宋体" w:hAnsi="宋体" w:eastAsia="宋体" w:cs="宋体"/>
          <w:color w:val="000000"/>
          <w:sz w:val="24"/>
          <w:szCs w:val="24"/>
        </w:rPr>
        <w:t>份。</w:t>
      </w: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pPr>
    </w:p>
    <w:p>
      <w:pPr>
        <w:pStyle w:val="50"/>
        <w:spacing w:before="120" w:after="120"/>
        <w:ind w:left="0" w:leftChars="0" w:firstLine="0" w:firstLineChars="0"/>
      </w:pPr>
    </w:p>
    <w:p>
      <w:pPr>
        <w:pStyle w:val="3"/>
        <w:numPr>
          <w:ilvl w:val="0"/>
          <w:numId w:val="8"/>
        </w:numPr>
        <w:spacing w:line="360" w:lineRule="auto"/>
        <w:jc w:val="center"/>
        <w:rPr>
          <w:rFonts w:ascii="宋体" w:hAnsi="宋体" w:cs="宋体"/>
          <w:sz w:val="36"/>
        </w:rPr>
      </w:pPr>
      <w:bookmarkStart w:id="335" w:name="_Toc5175"/>
      <w:bookmarkStart w:id="336" w:name="_Toc2443"/>
      <w:bookmarkStart w:id="337" w:name="_Toc24814"/>
      <w:bookmarkStart w:id="338" w:name="_Toc18304"/>
      <w:bookmarkStart w:id="339" w:name="_Toc8297"/>
      <w:r>
        <w:rPr>
          <w:rFonts w:hint="eastAsia" w:ascii="宋体" w:hAnsi="宋体" w:cs="宋体"/>
          <w:sz w:val="36"/>
        </w:rPr>
        <w:t>附件—磋商响应文件格式</w:t>
      </w:r>
      <w:bookmarkEnd w:id="315"/>
      <w:bookmarkEnd w:id="332"/>
      <w:bookmarkEnd w:id="333"/>
      <w:bookmarkEnd w:id="334"/>
      <w:bookmarkEnd w:id="335"/>
      <w:bookmarkEnd w:id="336"/>
      <w:bookmarkEnd w:id="337"/>
      <w:bookmarkEnd w:id="338"/>
      <w:bookmarkEnd w:id="339"/>
    </w:p>
    <w:p>
      <w:pPr>
        <w:spacing w:line="360" w:lineRule="auto"/>
        <w:rPr>
          <w:rFonts w:ascii="宋体" w:hAnsi="宋体" w:cs="宋体"/>
        </w:rPr>
      </w:pPr>
    </w:p>
    <w:p>
      <w:pPr>
        <w:pStyle w:val="39"/>
        <w:spacing w:line="360" w:lineRule="auto"/>
        <w:rPr>
          <w:rFonts w:ascii="宋体" w:hAnsi="宋体" w:cs="宋体"/>
        </w:rPr>
      </w:pPr>
    </w:p>
    <w:bookmarkEnd w:id="316"/>
    <w:bookmarkEnd w:id="317"/>
    <w:bookmarkEnd w:id="318"/>
    <w:bookmarkEnd w:id="319"/>
    <w:bookmarkEnd w:id="320"/>
    <w:bookmarkEnd w:id="321"/>
    <w:bookmarkEnd w:id="322"/>
    <w:p>
      <w:pPr>
        <w:spacing w:line="360" w:lineRule="auto"/>
        <w:jc w:val="center"/>
        <w:rPr>
          <w:rFonts w:ascii="宋体" w:hAnsi="宋体" w:cs="宋体"/>
          <w:b/>
          <w:kern w:val="0"/>
          <w:sz w:val="36"/>
          <w:szCs w:val="36"/>
          <w:bdr w:val="single" w:color="auto" w:sz="4" w:space="0"/>
        </w:rPr>
      </w:pPr>
      <w:bookmarkStart w:id="340" w:name="_Toc30434"/>
      <w:bookmarkStart w:id="341" w:name="_Toc246928961"/>
      <w:bookmarkStart w:id="342" w:name="_Toc128557264"/>
      <w:bookmarkStart w:id="343" w:name="_Toc246928962"/>
      <w:bookmarkStart w:id="344" w:name="_Toc385992404"/>
      <w:bookmarkStart w:id="345" w:name="_Toc492955463"/>
      <w:bookmarkStart w:id="346" w:name="_Toc497711589"/>
      <w:bookmarkStart w:id="347" w:name="_Toc497712137"/>
      <w:bookmarkStart w:id="348" w:name="_Toc497551824"/>
      <w:bookmarkStart w:id="349" w:name="_Toc389620244"/>
      <w:bookmarkStart w:id="350" w:name="_Toc497546922"/>
      <w:r>
        <w:rPr>
          <w:rFonts w:hint="eastAsia" w:ascii="宋体" w:hAnsi="宋体" w:cs="宋体"/>
          <w:b/>
          <w:sz w:val="44"/>
          <w:szCs w:val="44"/>
        </w:rPr>
        <w:t xml:space="preserve">           </w:t>
      </w:r>
      <w:r>
        <w:rPr>
          <w:rFonts w:hint="eastAsia" w:ascii="宋体" w:hAnsi="宋体" w:cs="宋体"/>
          <w:b/>
          <w:sz w:val="52"/>
          <w:szCs w:val="52"/>
        </w:rPr>
        <w:t xml:space="preserve"> </w:t>
      </w:r>
      <w:bookmarkStart w:id="351" w:name="_Toc14059"/>
      <w:bookmarkStart w:id="352" w:name="_Toc5425"/>
      <w:r>
        <w:rPr>
          <w:rFonts w:hint="eastAsia" w:ascii="宋体" w:hAnsi="宋体" w:cs="宋体"/>
          <w:b/>
          <w:sz w:val="52"/>
          <w:szCs w:val="52"/>
        </w:rPr>
        <w:t>（封面</w:t>
      </w:r>
      <w:bookmarkEnd w:id="340"/>
      <w:r>
        <w:rPr>
          <w:rFonts w:hint="eastAsia" w:ascii="宋体" w:hAnsi="宋体" w:cs="宋体"/>
          <w:b/>
          <w:sz w:val="52"/>
          <w:szCs w:val="52"/>
        </w:rPr>
        <w:t>）</w:t>
      </w:r>
      <w:r>
        <w:rPr>
          <w:rFonts w:hint="eastAsia" w:ascii="宋体" w:hAnsi="宋体" w:cs="宋体"/>
          <w:b/>
          <w:sz w:val="44"/>
          <w:szCs w:val="44"/>
        </w:rPr>
        <w:t xml:space="preserve">       </w:t>
      </w:r>
      <w:r>
        <w:rPr>
          <w:rFonts w:hint="eastAsia" w:ascii="宋体" w:hAnsi="宋体" w:cs="宋体"/>
          <w:b/>
          <w:kern w:val="0"/>
          <w:sz w:val="36"/>
          <w:szCs w:val="36"/>
          <w:bdr w:val="single" w:color="auto" w:sz="4" w:space="0"/>
        </w:rPr>
        <w:t>正/副本</w:t>
      </w:r>
      <w:bookmarkEnd w:id="351"/>
      <w:bookmarkEnd w:id="352"/>
    </w:p>
    <w:p>
      <w:pPr>
        <w:spacing w:line="360" w:lineRule="auto"/>
        <w:jc w:val="center"/>
        <w:rPr>
          <w:rFonts w:hint="eastAsia" w:ascii="宋体" w:hAnsi="宋体" w:cs="宋体"/>
          <w:b/>
          <w:sz w:val="56"/>
          <w:szCs w:val="56"/>
        </w:rPr>
      </w:pPr>
      <w:r>
        <w:rPr>
          <w:rFonts w:hint="eastAsia" w:ascii="宋体" w:hAnsi="宋体" w:cs="宋体"/>
          <w:b/>
          <w:sz w:val="56"/>
          <w:szCs w:val="56"/>
        </w:rPr>
        <w:t>陕西师范大学附属中学</w:t>
      </w:r>
    </w:p>
    <w:p>
      <w:pPr>
        <w:spacing w:line="360" w:lineRule="auto"/>
        <w:jc w:val="center"/>
        <w:rPr>
          <w:rFonts w:hint="eastAsia" w:ascii="宋体" w:hAnsi="宋体" w:eastAsia="宋体" w:cs="宋体"/>
          <w:b/>
          <w:sz w:val="56"/>
          <w:szCs w:val="56"/>
        </w:rPr>
      </w:pPr>
      <w:r>
        <w:rPr>
          <w:rFonts w:hint="eastAsia" w:ascii="宋体" w:hAnsi="宋体" w:eastAsia="宋体" w:cs="宋体"/>
          <w:b/>
          <w:sz w:val="56"/>
          <w:szCs w:val="56"/>
        </w:rPr>
        <w:t>电动车充电桩安装及维保服务</w:t>
      </w:r>
    </w:p>
    <w:p>
      <w:pPr>
        <w:spacing w:line="360" w:lineRule="auto"/>
        <w:rPr>
          <w:rFonts w:ascii="宋体" w:hAnsi="宋体" w:cs="宋体"/>
          <w:b/>
          <w:sz w:val="84"/>
          <w:szCs w:val="52"/>
        </w:rPr>
      </w:pPr>
    </w:p>
    <w:p>
      <w:pPr>
        <w:spacing w:line="360" w:lineRule="auto"/>
        <w:jc w:val="center"/>
        <w:rPr>
          <w:rFonts w:ascii="宋体" w:hAnsi="宋体" w:cs="宋体"/>
          <w:b/>
          <w:sz w:val="24"/>
          <w:szCs w:val="16"/>
        </w:rPr>
      </w:pPr>
      <w:bookmarkStart w:id="353" w:name="_Toc17145"/>
      <w:bookmarkStart w:id="354" w:name="_Toc20122"/>
      <w:r>
        <w:rPr>
          <w:rFonts w:hint="eastAsia" w:ascii="宋体" w:hAnsi="宋体" w:cs="宋体"/>
          <w:b/>
          <w:sz w:val="56"/>
          <w:szCs w:val="44"/>
        </w:rPr>
        <w:t>磋商响应文件</w:t>
      </w:r>
      <w:bookmarkEnd w:id="353"/>
      <w:bookmarkEnd w:id="354"/>
      <w:r>
        <w:rPr>
          <w:rFonts w:hint="eastAsia" w:ascii="宋体" w:hAnsi="宋体" w:cs="宋体"/>
          <w:b/>
          <w:sz w:val="56"/>
          <w:szCs w:val="44"/>
        </w:rPr>
        <w:t xml:space="preserve"> </w:t>
      </w:r>
    </w:p>
    <w:p>
      <w:pPr>
        <w:spacing w:line="360" w:lineRule="auto"/>
        <w:jc w:val="center"/>
        <w:rPr>
          <w:rFonts w:ascii="宋体" w:hAnsi="宋体" w:cs="宋体"/>
          <w:b/>
          <w:sz w:val="32"/>
        </w:rPr>
      </w:pPr>
      <w:bookmarkStart w:id="355" w:name="_Toc280"/>
      <w:bookmarkStart w:id="356" w:name="_Toc24424"/>
      <w:r>
        <w:rPr>
          <w:rFonts w:hint="eastAsia" w:ascii="宋体" w:hAnsi="宋体" w:cs="宋体"/>
          <w:b/>
          <w:sz w:val="32"/>
        </w:rPr>
        <w:t>采购项目编号：</w:t>
      </w:r>
      <w:bookmarkEnd w:id="355"/>
      <w:bookmarkEnd w:id="356"/>
      <w:r>
        <w:rPr>
          <w:rFonts w:hint="eastAsia" w:ascii="宋体" w:hAnsi="宋体" w:cs="宋体"/>
          <w:b/>
          <w:sz w:val="32"/>
        </w:rPr>
        <w:t xml:space="preserve"> </w:t>
      </w:r>
    </w:p>
    <w:p>
      <w:pPr>
        <w:spacing w:line="360" w:lineRule="auto"/>
        <w:rPr>
          <w:rFonts w:ascii="宋体" w:hAnsi="宋体" w:cs="宋体"/>
          <w:b/>
          <w:sz w:val="32"/>
        </w:rPr>
      </w:pPr>
      <w:r>
        <w:rPr>
          <w:rFonts w:hint="eastAsia" w:ascii="宋体" w:hAnsi="宋体" w:cs="宋体"/>
          <w:b/>
          <w:sz w:val="32"/>
        </w:rPr>
        <w:t xml:space="preserve">                         </w:t>
      </w:r>
    </w:p>
    <w:p>
      <w:pPr>
        <w:spacing w:line="360" w:lineRule="auto"/>
        <w:ind w:firstLine="1265" w:firstLineChars="450"/>
        <w:rPr>
          <w:rFonts w:ascii="宋体" w:hAnsi="宋体" w:cs="宋体"/>
          <w:b/>
          <w:sz w:val="28"/>
        </w:rPr>
      </w:pPr>
    </w:p>
    <w:p>
      <w:pPr>
        <w:spacing w:line="360" w:lineRule="auto"/>
        <w:ind w:firstLine="1265" w:firstLineChars="450"/>
        <w:rPr>
          <w:rFonts w:ascii="宋体" w:hAnsi="宋体" w:cs="宋体"/>
          <w:b/>
          <w:sz w:val="28"/>
          <w:u w:val="single"/>
        </w:rPr>
      </w:pPr>
      <w:r>
        <w:rPr>
          <w:rFonts w:hint="eastAsia" w:ascii="宋体" w:hAnsi="宋体" w:cs="宋体"/>
          <w:b/>
          <w:sz w:val="28"/>
        </w:rPr>
        <w:t xml:space="preserve">  </w:t>
      </w:r>
      <w:bookmarkStart w:id="357" w:name="_Toc27808"/>
      <w:bookmarkStart w:id="358" w:name="_Toc23046"/>
      <w:r>
        <w:rPr>
          <w:rFonts w:hint="eastAsia" w:ascii="宋体" w:hAnsi="宋体" w:cs="宋体"/>
          <w:b/>
          <w:sz w:val="28"/>
        </w:rPr>
        <w:t>供应商：</w:t>
      </w:r>
      <w:bookmarkEnd w:id="357"/>
      <w:bookmarkEnd w:id="358"/>
      <w:r>
        <w:rPr>
          <w:rFonts w:hint="eastAsia" w:ascii="宋体" w:hAnsi="宋体" w:cs="宋体"/>
          <w:b/>
          <w:sz w:val="28"/>
          <w:u w:val="single"/>
        </w:rPr>
        <w:t xml:space="preserve">                               </w:t>
      </w:r>
    </w:p>
    <w:p>
      <w:pPr>
        <w:spacing w:line="360" w:lineRule="auto"/>
        <w:ind w:firstLine="4346" w:firstLineChars="1546"/>
        <w:rPr>
          <w:rFonts w:ascii="宋体" w:hAnsi="宋体" w:cs="宋体"/>
          <w:b/>
          <w:sz w:val="28"/>
        </w:rPr>
      </w:pPr>
      <w:bookmarkStart w:id="359" w:name="_Toc27889"/>
      <w:bookmarkStart w:id="360" w:name="_Toc23518"/>
      <w:r>
        <w:rPr>
          <w:rFonts w:hint="eastAsia" w:ascii="宋体" w:hAnsi="宋体" w:cs="宋体"/>
          <w:b/>
          <w:sz w:val="28"/>
        </w:rPr>
        <w:t>（盖公章）</w:t>
      </w:r>
      <w:bookmarkEnd w:id="359"/>
      <w:bookmarkEnd w:id="360"/>
    </w:p>
    <w:p>
      <w:pPr>
        <w:spacing w:line="360" w:lineRule="auto"/>
        <w:jc w:val="center"/>
        <w:rPr>
          <w:rFonts w:ascii="宋体" w:hAnsi="宋体" w:cs="宋体"/>
          <w:b/>
          <w:sz w:val="28"/>
        </w:rPr>
      </w:pPr>
    </w:p>
    <w:p>
      <w:pPr>
        <w:pStyle w:val="2"/>
        <w:rPr>
          <w:rFonts w:ascii="宋体" w:hAnsi="宋体" w:cs="宋体"/>
          <w:b/>
          <w:sz w:val="28"/>
        </w:rPr>
      </w:pPr>
    </w:p>
    <w:p/>
    <w:p>
      <w:pPr>
        <w:spacing w:line="360" w:lineRule="auto"/>
        <w:jc w:val="center"/>
        <w:rPr>
          <w:rFonts w:ascii="宋体" w:hAnsi="宋体" w:cs="宋体"/>
        </w:rPr>
      </w:pPr>
      <w:r>
        <w:rPr>
          <w:rFonts w:hint="eastAsia" w:ascii="宋体" w:hAnsi="宋体" w:cs="宋体"/>
          <w:b/>
          <w:sz w:val="28"/>
        </w:rPr>
        <w:t xml:space="preserve">     </w:t>
      </w:r>
      <w:bookmarkStart w:id="361" w:name="_Toc32627"/>
      <w:bookmarkStart w:id="362" w:name="_Toc7406"/>
      <w:r>
        <w:rPr>
          <w:rFonts w:hint="eastAsia" w:ascii="宋体" w:hAnsi="宋体" w:cs="宋体"/>
          <w:b/>
          <w:sz w:val="28"/>
          <w:u w:val="single"/>
        </w:rPr>
        <w:t>二零二三</w:t>
      </w:r>
      <w:r>
        <w:rPr>
          <w:rFonts w:hint="eastAsia" w:ascii="宋体" w:hAnsi="宋体" w:cs="宋体"/>
          <w:b/>
          <w:sz w:val="28"/>
        </w:rPr>
        <w:t>年</w:t>
      </w:r>
      <w:r>
        <w:rPr>
          <w:rFonts w:hint="eastAsia" w:ascii="宋体" w:hAnsi="宋体" w:cs="宋体"/>
          <w:b/>
          <w:sz w:val="28"/>
          <w:u w:val="single"/>
        </w:rPr>
        <w:t xml:space="preserve">   </w:t>
      </w:r>
      <w:r>
        <w:rPr>
          <w:rFonts w:hint="eastAsia" w:ascii="宋体" w:hAnsi="宋体" w:cs="宋体"/>
          <w:b/>
          <w:sz w:val="28"/>
        </w:rPr>
        <w:t>月</w:t>
      </w:r>
      <w:bookmarkEnd w:id="361"/>
      <w:bookmarkEnd w:id="362"/>
    </w:p>
    <w:p>
      <w:pPr>
        <w:pageBreakBefore/>
        <w:snapToGrid w:val="0"/>
        <w:spacing w:line="360" w:lineRule="auto"/>
        <w:rPr>
          <w:rFonts w:ascii="宋体" w:hAnsi="宋体" w:cs="宋体"/>
          <w:sz w:val="22"/>
          <w:szCs w:val="28"/>
        </w:rPr>
      </w:pPr>
      <w:bookmarkStart w:id="363" w:name="_Toc357087380"/>
      <w:bookmarkStart w:id="364" w:name="_Toc21305"/>
      <w:r>
        <w:rPr>
          <w:rFonts w:hint="eastAsia" w:ascii="宋体" w:hAnsi="宋体" w:cs="宋体"/>
          <w:sz w:val="22"/>
          <w:szCs w:val="28"/>
        </w:rPr>
        <w:t>书脊格式（规定格式）</w:t>
      </w:r>
    </w:p>
    <w:p>
      <w:pPr>
        <w:widowControl/>
        <w:spacing w:line="360" w:lineRule="auto"/>
        <w:jc w:val="center"/>
        <w:rPr>
          <w:rFonts w:ascii="宋体" w:hAnsi="宋体" w:cs="宋体"/>
          <w:kern w:val="0"/>
          <w:sz w:val="28"/>
          <w:szCs w:val="28"/>
          <w:u w:color="000000"/>
        </w:rPr>
      </w:pPr>
      <w:r>
        <w:rPr>
          <w:rFonts w:hint="eastAsia" w:ascii="宋体" w:hAnsi="宋体" w:cs="宋体"/>
          <w:kern w:val="0"/>
          <w:sz w:val="28"/>
          <w:szCs w:val="28"/>
          <w:u w:color="000000"/>
        </w:rPr>
        <w:t>书脊格式</w:t>
      </w:r>
    </w:p>
    <w:tbl>
      <w:tblPr>
        <w:tblStyle w:val="41"/>
        <w:tblpPr w:leftFromText="180" w:rightFromText="180" w:vertAnchor="text" w:horzAnchor="margin" w:tblpXSpec="center" w:tblpY="1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38" w:hRule="atLeast"/>
        </w:trPr>
        <w:tc>
          <w:tcPr>
            <w:tcW w:w="817" w:type="dxa"/>
            <w:textDirection w:val="tbRlV"/>
            <w:vAlign w:val="center"/>
          </w:tcPr>
          <w:p>
            <w:pPr>
              <w:widowControl/>
              <w:spacing w:line="360" w:lineRule="auto"/>
              <w:ind w:left="113" w:right="113"/>
              <w:textAlignment w:val="baseline"/>
              <w:rPr>
                <w:rFonts w:ascii="宋体" w:hAnsi="宋体" w:cs="宋体"/>
                <w:b/>
                <w:kern w:val="0"/>
                <w:szCs w:val="21"/>
                <w:u w:color="000000"/>
              </w:rPr>
            </w:pPr>
            <w:r>
              <w:rPr>
                <w:rFonts w:hint="eastAsia" w:ascii="宋体" w:hAnsi="宋体" w:cs="宋体"/>
                <w:b/>
                <w:bCs/>
                <w:kern w:val="0"/>
                <w:szCs w:val="21"/>
                <w:u w:color="000000"/>
              </w:rPr>
              <w:t>项目编号：              项目名称：                          供应商名称：</w:t>
            </w:r>
          </w:p>
        </w:tc>
      </w:tr>
    </w:tbl>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rPr>
          <w:rFonts w:ascii="宋体" w:hAnsi="宋体" w:cs="宋体"/>
          <w:kern w:val="0"/>
          <w:sz w:val="28"/>
          <w:szCs w:val="28"/>
          <w:u w:color="000000"/>
        </w:rPr>
      </w:pPr>
    </w:p>
    <w:p>
      <w:pPr>
        <w:pStyle w:val="26"/>
        <w:spacing w:line="360" w:lineRule="auto"/>
        <w:rPr>
          <w:rFonts w:ascii="宋体" w:hAnsi="宋体" w:cs="宋体"/>
        </w:rPr>
      </w:pPr>
    </w:p>
    <w:p>
      <w:pPr>
        <w:pStyle w:val="26"/>
        <w:spacing w:line="360" w:lineRule="auto"/>
        <w:rPr>
          <w:rFonts w:ascii="宋体" w:hAnsi="宋体" w:cs="宋体"/>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kern w:val="0"/>
          <w:sz w:val="28"/>
          <w:szCs w:val="28"/>
          <w:u w:color="000000"/>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p>
    <w:p>
      <w:pPr>
        <w:widowControl/>
        <w:spacing w:line="360" w:lineRule="auto"/>
        <w:jc w:val="center"/>
        <w:rPr>
          <w:rFonts w:ascii="宋体" w:hAnsi="宋体" w:cs="宋体"/>
          <w:bCs/>
          <w:kern w:val="0"/>
          <w:sz w:val="22"/>
          <w:szCs w:val="28"/>
        </w:rPr>
      </w:pPr>
      <w:r>
        <w:rPr>
          <w:rFonts w:hint="eastAsia" w:ascii="宋体" w:hAnsi="宋体" w:cs="宋体"/>
          <w:bCs/>
          <w:kern w:val="0"/>
          <w:sz w:val="22"/>
          <w:szCs w:val="28"/>
        </w:rPr>
        <w:t>注:书脊内容如果编辑空间不够，可以简写书脊内容</w:t>
      </w:r>
    </w:p>
    <w:p>
      <w:pPr>
        <w:widowControl/>
        <w:spacing w:line="360" w:lineRule="auto"/>
        <w:jc w:val="center"/>
        <w:rPr>
          <w:rFonts w:ascii="宋体" w:hAnsi="宋体" w:cs="宋体"/>
          <w:bCs/>
          <w:kern w:val="0"/>
          <w:sz w:val="22"/>
          <w:szCs w:val="28"/>
        </w:rPr>
      </w:pPr>
      <w:r>
        <w:rPr>
          <w:rFonts w:hint="eastAsia" w:ascii="宋体" w:hAnsi="宋体" w:cs="宋体"/>
          <w:bCs/>
          <w:kern w:val="0"/>
          <w:sz w:val="22"/>
          <w:szCs w:val="28"/>
        </w:rPr>
        <w:t>标书厚度如果不够，可不用提供书脊</w:t>
      </w:r>
    </w:p>
    <w:p>
      <w:pPr>
        <w:pStyle w:val="5"/>
        <w:ind w:left="0" w:leftChars="0" w:firstLine="0" w:firstLineChars="0"/>
      </w:pPr>
      <w:bookmarkStart w:id="365" w:name="_Toc32350"/>
      <w:bookmarkStart w:id="366" w:name="_Toc29417"/>
      <w:bookmarkStart w:id="367" w:name="_Toc16581"/>
      <w:bookmarkStart w:id="368" w:name="_Toc26517"/>
      <w:bookmarkStart w:id="369" w:name="_Toc14592"/>
    </w:p>
    <w:p>
      <w:pPr>
        <w:pStyle w:val="4"/>
        <w:spacing w:line="360" w:lineRule="auto"/>
        <w:rPr>
          <w:rFonts w:ascii="宋体" w:hAnsi="宋体" w:eastAsia="宋体" w:cs="宋体"/>
          <w:szCs w:val="22"/>
        </w:rPr>
      </w:pPr>
      <w:bookmarkStart w:id="370" w:name="_Toc29310"/>
      <w:bookmarkStart w:id="371" w:name="_Toc27316"/>
      <w:r>
        <w:rPr>
          <w:rFonts w:hint="eastAsia" w:ascii="宋体" w:hAnsi="宋体" w:eastAsia="宋体" w:cs="宋体"/>
          <w:szCs w:val="22"/>
        </w:rPr>
        <w:t>响应文件目录</w:t>
      </w:r>
      <w:bookmarkEnd w:id="365"/>
      <w:bookmarkEnd w:id="366"/>
      <w:bookmarkEnd w:id="367"/>
      <w:bookmarkEnd w:id="368"/>
      <w:bookmarkEnd w:id="369"/>
      <w:bookmarkEnd w:id="370"/>
      <w:bookmarkEnd w:id="371"/>
    </w:p>
    <w:p>
      <w:pPr>
        <w:pStyle w:val="4"/>
        <w:spacing w:line="360" w:lineRule="auto"/>
        <w:outlineLvl w:val="9"/>
        <w:rPr>
          <w:rFonts w:ascii="宋体" w:hAnsi="宋体" w:eastAsia="宋体" w:cs="宋体"/>
        </w:rPr>
        <w:sectPr>
          <w:headerReference r:id="rId7" w:type="default"/>
          <w:footerReference r:id="rId8" w:type="default"/>
          <w:footnotePr>
            <w:pos w:val="beneathText"/>
          </w:footnotePr>
          <w:pgSz w:w="11906" w:h="16838"/>
          <w:pgMar w:top="1440" w:right="1423" w:bottom="1219" w:left="1644" w:header="851" w:footer="992" w:gutter="0"/>
          <w:pgNumType w:fmt="decimal"/>
          <w:cols w:space="720" w:num="1"/>
          <w:titlePg/>
          <w:docGrid w:linePitch="312" w:charSpace="0"/>
        </w:sectPr>
      </w:pPr>
    </w:p>
    <w:bookmarkEnd w:id="341"/>
    <w:bookmarkEnd w:id="363"/>
    <w:bookmarkEnd w:id="364"/>
    <w:p>
      <w:pPr>
        <w:pStyle w:val="4"/>
        <w:spacing w:line="360" w:lineRule="auto"/>
        <w:rPr>
          <w:rFonts w:ascii="宋体" w:hAnsi="宋体" w:eastAsia="宋体" w:cs="宋体"/>
        </w:rPr>
      </w:pPr>
      <w:bookmarkStart w:id="372" w:name="_Toc6871"/>
      <w:bookmarkStart w:id="373" w:name="_Toc18338"/>
      <w:bookmarkStart w:id="374" w:name="_Toc30412"/>
      <w:bookmarkStart w:id="375" w:name="_Toc14508"/>
      <w:bookmarkStart w:id="376" w:name="_Toc29412"/>
      <w:bookmarkStart w:id="377" w:name="_Toc8712"/>
      <w:bookmarkStart w:id="378" w:name="_Toc7842"/>
      <w:r>
        <w:rPr>
          <w:rFonts w:hint="eastAsia" w:ascii="宋体" w:hAnsi="宋体" w:eastAsia="宋体" w:cs="宋体"/>
        </w:rPr>
        <w:t>磋商响应函</w:t>
      </w:r>
      <w:bookmarkEnd w:id="372"/>
      <w:bookmarkEnd w:id="373"/>
      <w:bookmarkEnd w:id="374"/>
      <w:bookmarkEnd w:id="375"/>
      <w:bookmarkEnd w:id="376"/>
      <w:bookmarkEnd w:id="377"/>
      <w:bookmarkEnd w:id="378"/>
    </w:p>
    <w:p>
      <w:pPr>
        <w:spacing w:line="360" w:lineRule="auto"/>
        <w:rPr>
          <w:rFonts w:ascii="宋体" w:hAnsi="宋体" w:cs="宋体"/>
          <w:sz w:val="24"/>
        </w:rPr>
      </w:pPr>
      <w:r>
        <w:rPr>
          <w:rFonts w:hint="eastAsia" w:ascii="宋体" w:hAnsi="宋体" w:cs="宋体"/>
          <w:sz w:val="24"/>
        </w:rPr>
        <w:t>致：陕西师范大学附属中学</w:t>
      </w:r>
    </w:p>
    <w:p>
      <w:pPr>
        <w:spacing w:line="360" w:lineRule="auto"/>
        <w:ind w:firstLine="540" w:firstLineChars="225"/>
        <w:rPr>
          <w:rFonts w:ascii="宋体" w:hAnsi="宋体" w:cs="宋体"/>
          <w:sz w:val="24"/>
        </w:rPr>
      </w:pPr>
      <w:r>
        <w:rPr>
          <w:rFonts w:hint="eastAsia" w:ascii="宋体" w:hAnsi="宋体" w:cs="宋体"/>
          <w:sz w:val="24"/>
        </w:rPr>
        <w:t>根据贵方为</w:t>
      </w:r>
      <w:r>
        <w:rPr>
          <w:rFonts w:hint="eastAsia" w:ascii="宋体" w:hAnsi="宋体" w:cs="宋体"/>
          <w:sz w:val="24"/>
          <w:u w:val="single"/>
        </w:rPr>
        <w:t xml:space="preserve">采购项目名称、采购项目编号 </w:t>
      </w:r>
      <w:r>
        <w:rPr>
          <w:rFonts w:hint="eastAsia" w:ascii="宋体" w:hAnsi="宋体" w:cs="宋体"/>
          <w:sz w:val="24"/>
        </w:rPr>
        <w:t>的竞争性磋商文件，签字代表</w:t>
      </w:r>
      <w:r>
        <w:rPr>
          <w:rFonts w:hint="eastAsia" w:ascii="宋体" w:hAnsi="宋体" w:cs="宋体"/>
          <w:sz w:val="24"/>
          <w:u w:val="single"/>
        </w:rPr>
        <w:t xml:space="preserve">              (全名、职务)</w:t>
      </w:r>
      <w:r>
        <w:rPr>
          <w:rFonts w:hint="eastAsia" w:ascii="宋体" w:hAnsi="宋体" w:cs="宋体"/>
          <w:sz w:val="24"/>
        </w:rPr>
        <w:t>经正式授权并代表</w:t>
      </w:r>
      <w:r>
        <w:rPr>
          <w:rFonts w:hint="eastAsia" w:ascii="宋体" w:hAnsi="宋体" w:cs="宋体"/>
          <w:sz w:val="24"/>
          <w:u w:val="single"/>
        </w:rPr>
        <w:t xml:space="preserve"> (供应商名称、地址）</w:t>
      </w:r>
      <w:r>
        <w:rPr>
          <w:rFonts w:hint="eastAsia" w:ascii="宋体" w:hAnsi="宋体" w:cs="宋体"/>
          <w:sz w:val="24"/>
        </w:rPr>
        <w:t>提交包含下述内容的磋商响应文件正本壹套、副本一式</w:t>
      </w:r>
      <w:r>
        <w:rPr>
          <w:rFonts w:hint="eastAsia" w:ascii="宋体" w:hAnsi="宋体" w:cs="宋体"/>
          <w:sz w:val="24"/>
          <w:u w:val="single"/>
        </w:rPr>
        <w:t xml:space="preserve">   </w:t>
      </w:r>
      <w:r>
        <w:rPr>
          <w:rFonts w:hint="eastAsia" w:ascii="宋体" w:hAnsi="宋体" w:cs="宋体"/>
          <w:sz w:val="24"/>
        </w:rPr>
        <w:t>套</w:t>
      </w:r>
    </w:p>
    <w:p>
      <w:pPr>
        <w:spacing w:line="360" w:lineRule="auto"/>
        <w:rPr>
          <w:rFonts w:ascii="宋体" w:hAnsi="宋体" w:cs="宋体"/>
          <w:sz w:val="24"/>
        </w:rPr>
      </w:pPr>
      <w:r>
        <w:rPr>
          <w:rFonts w:hint="eastAsia" w:ascii="宋体" w:hAnsi="宋体" w:cs="宋体"/>
          <w:sz w:val="24"/>
        </w:rPr>
        <w:t xml:space="preserve">    (1) 磋商响应函；</w:t>
      </w:r>
    </w:p>
    <w:p>
      <w:pPr>
        <w:spacing w:line="360" w:lineRule="auto"/>
        <w:rPr>
          <w:rFonts w:ascii="宋体" w:hAnsi="宋体" w:cs="宋体"/>
          <w:sz w:val="24"/>
        </w:rPr>
      </w:pPr>
      <w:r>
        <w:rPr>
          <w:rFonts w:hint="eastAsia" w:ascii="宋体" w:hAnsi="宋体" w:cs="宋体"/>
          <w:sz w:val="24"/>
        </w:rPr>
        <w:t xml:space="preserve">    (2) 磋商报价表；</w:t>
      </w:r>
    </w:p>
    <w:p>
      <w:pPr>
        <w:spacing w:line="360" w:lineRule="auto"/>
        <w:rPr>
          <w:rFonts w:ascii="宋体" w:hAnsi="宋体" w:cs="宋体"/>
          <w:sz w:val="24"/>
        </w:rPr>
      </w:pPr>
      <w:r>
        <w:rPr>
          <w:rFonts w:hint="eastAsia" w:ascii="宋体" w:hAnsi="宋体" w:cs="宋体"/>
          <w:sz w:val="24"/>
        </w:rPr>
        <w:t xml:space="preserve">    (3) 按磋商须知要求提供的全部文件和磋商文件要求的响应文件；</w:t>
      </w:r>
    </w:p>
    <w:p>
      <w:pPr>
        <w:spacing w:line="360" w:lineRule="auto"/>
        <w:rPr>
          <w:rFonts w:ascii="宋体" w:hAnsi="宋体" w:cs="宋体"/>
          <w:sz w:val="24"/>
        </w:rPr>
      </w:pPr>
      <w:r>
        <w:rPr>
          <w:rFonts w:hint="eastAsia" w:ascii="宋体" w:hAnsi="宋体" w:cs="宋体"/>
          <w:sz w:val="24"/>
        </w:rPr>
        <w:t xml:space="preserve">    (4) 供应商资格证明文件；</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据此函，签字代表宣布同意如下：</w:t>
      </w:r>
    </w:p>
    <w:p>
      <w:pPr>
        <w:spacing w:line="360" w:lineRule="auto"/>
        <w:ind w:firstLine="480" w:firstLineChars="200"/>
        <w:rPr>
          <w:rFonts w:ascii="宋体" w:hAnsi="宋体" w:cs="宋体"/>
          <w:sz w:val="24"/>
        </w:rPr>
      </w:pPr>
      <w:r>
        <w:rPr>
          <w:rFonts w:hint="eastAsia" w:ascii="宋体" w:hAnsi="宋体" w:cs="宋体"/>
          <w:sz w:val="24"/>
        </w:rPr>
        <w:t>1.供应商将按磋商文件的规定履行合同责任和义务;</w:t>
      </w:r>
    </w:p>
    <w:p>
      <w:pPr>
        <w:spacing w:line="360" w:lineRule="auto"/>
        <w:ind w:firstLine="420"/>
        <w:rPr>
          <w:rFonts w:ascii="宋体" w:hAnsi="宋体" w:cs="宋体"/>
          <w:sz w:val="24"/>
        </w:rPr>
      </w:pPr>
      <w:r>
        <w:rPr>
          <w:rFonts w:hint="eastAsia" w:ascii="宋体" w:hAnsi="宋体" w:cs="宋体"/>
          <w:sz w:val="24"/>
        </w:rPr>
        <w:t>2.供应商已详细审查全部磋商文件，包括修改文件（如有的话）以及全部参考资料和有关附件。我们完全理解并同意放弃对这方面有不明及误解的权利；</w:t>
      </w:r>
    </w:p>
    <w:p>
      <w:pPr>
        <w:spacing w:line="360" w:lineRule="auto"/>
        <w:ind w:firstLine="420"/>
        <w:rPr>
          <w:rFonts w:ascii="宋体" w:hAnsi="宋体" w:cs="宋体"/>
          <w:sz w:val="24"/>
        </w:rPr>
      </w:pPr>
      <w:r>
        <w:rPr>
          <w:rFonts w:hint="eastAsia" w:ascii="宋体" w:hAnsi="宋体" w:cs="宋体"/>
          <w:sz w:val="24"/>
        </w:rPr>
        <w:t>3.磋商报价自磋商响应文件截止之日起有效期为</w:t>
      </w:r>
      <w:r>
        <w:rPr>
          <w:rFonts w:hint="eastAsia" w:ascii="宋体" w:hAnsi="宋体" w:cs="宋体"/>
          <w:sz w:val="24"/>
          <w:u w:val="single"/>
        </w:rPr>
        <w:t xml:space="preserve"> </w:t>
      </w:r>
      <w:r>
        <w:rPr>
          <w:rFonts w:ascii="宋体" w:hAnsi="宋体" w:cs="宋体"/>
          <w:sz w:val="24"/>
          <w:u w:val="single"/>
        </w:rPr>
        <w:t>90</w:t>
      </w:r>
      <w:r>
        <w:rPr>
          <w:rFonts w:hint="eastAsia" w:ascii="宋体" w:hAnsi="宋体" w:cs="宋体"/>
          <w:sz w:val="24"/>
          <w:u w:val="single"/>
        </w:rPr>
        <w:t xml:space="preserve"> </w:t>
      </w:r>
      <w:r>
        <w:rPr>
          <w:rFonts w:hint="eastAsia" w:ascii="宋体" w:hAnsi="宋体" w:cs="宋体"/>
          <w:sz w:val="24"/>
        </w:rPr>
        <w:t>个日历天；</w:t>
      </w:r>
    </w:p>
    <w:p>
      <w:pPr>
        <w:spacing w:line="360" w:lineRule="auto"/>
        <w:ind w:firstLine="420"/>
        <w:rPr>
          <w:rFonts w:ascii="宋体" w:hAnsi="宋体" w:cs="宋体"/>
          <w:sz w:val="24"/>
          <w:szCs w:val="22"/>
        </w:rPr>
      </w:pPr>
      <w:r>
        <w:rPr>
          <w:rFonts w:hint="eastAsia" w:ascii="宋体" w:hAnsi="宋体" w:cs="宋体"/>
          <w:sz w:val="24"/>
          <w:szCs w:val="22"/>
        </w:rPr>
        <w:t>4.投标供应商同意提供按照贵方可能要求的与其报价有关的一切数据或资料，完全理解贵方不一定要接受最低价的磋商报价或收到的任何磋商报价；</w:t>
      </w:r>
    </w:p>
    <w:p>
      <w:pPr>
        <w:spacing w:line="360" w:lineRule="auto"/>
        <w:ind w:firstLine="420"/>
        <w:rPr>
          <w:rFonts w:ascii="宋体" w:hAnsi="宋体" w:cs="宋体"/>
          <w:sz w:val="24"/>
        </w:rPr>
      </w:pPr>
      <w:r>
        <w:rPr>
          <w:rFonts w:hint="eastAsia" w:ascii="宋体" w:hAnsi="宋体" w:cs="宋体"/>
          <w:sz w:val="24"/>
        </w:rPr>
        <w:t>5.与本磋商有关的一切正式往来通讯请寄：</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地址：</w:t>
      </w:r>
      <w:r>
        <w:rPr>
          <w:rFonts w:hint="eastAsia" w:ascii="宋体" w:hAnsi="宋体" w:cs="宋体"/>
          <w:sz w:val="24"/>
          <w:u w:val="single"/>
        </w:rPr>
        <w:t xml:space="preserve">                              </w:t>
      </w:r>
      <w:r>
        <w:rPr>
          <w:rFonts w:hint="eastAsia" w:ascii="宋体" w:hAnsi="宋体" w:cs="宋体"/>
          <w:sz w:val="24"/>
        </w:rPr>
        <w:t xml:space="preserve">    邮编：</w:t>
      </w:r>
      <w:r>
        <w:rPr>
          <w:rFonts w:hint="eastAsia" w:ascii="宋体" w:hAnsi="宋体" w:cs="宋体"/>
          <w:sz w:val="24"/>
          <w:u w:val="single"/>
        </w:rPr>
        <w:t xml:space="preserve">                    </w:t>
      </w:r>
    </w:p>
    <w:p>
      <w:pPr>
        <w:spacing w:line="360" w:lineRule="auto"/>
        <w:rPr>
          <w:rFonts w:ascii="宋体" w:hAnsi="宋体" w:cs="宋体"/>
          <w:sz w:val="24"/>
        </w:rPr>
      </w:pPr>
      <w:r>
        <w:rPr>
          <w:rFonts w:hint="eastAsia" w:ascii="宋体" w:hAnsi="宋体" w:cs="宋体"/>
          <w:sz w:val="24"/>
        </w:rPr>
        <w:tab/>
      </w: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传真：</w:t>
      </w:r>
      <w:r>
        <w:rPr>
          <w:rFonts w:hint="eastAsia" w:ascii="宋体" w:hAnsi="宋体" w:cs="宋体"/>
          <w:sz w:val="24"/>
          <w:u w:val="single"/>
        </w:rPr>
        <w:t xml:space="preserve">                     </w:t>
      </w:r>
    </w:p>
    <w:p>
      <w:pPr>
        <w:spacing w:line="360" w:lineRule="auto"/>
        <w:rPr>
          <w:rFonts w:ascii="宋体" w:hAnsi="宋体" w:cs="宋体"/>
          <w:sz w:val="24"/>
          <w:u w:val="single"/>
        </w:rPr>
      </w:pPr>
      <w:r>
        <w:rPr>
          <w:rFonts w:hint="eastAsia" w:ascii="宋体" w:hAnsi="宋体" w:cs="宋体"/>
          <w:sz w:val="24"/>
        </w:rPr>
        <w:tab/>
      </w:r>
      <w:r>
        <w:rPr>
          <w:rFonts w:hint="eastAsia" w:ascii="宋体" w:hAnsi="宋体" w:cs="宋体"/>
          <w:sz w:val="24"/>
        </w:rPr>
        <w:t>供应商代表姓名、职务（印刷体）：</w:t>
      </w:r>
      <w:r>
        <w:rPr>
          <w:rFonts w:hint="eastAsia" w:ascii="宋体" w:hAnsi="宋体" w:cs="宋体"/>
          <w:sz w:val="24"/>
          <w:u w:val="single"/>
        </w:rPr>
        <w:t xml:space="preserve">                                   </w:t>
      </w:r>
    </w:p>
    <w:p>
      <w:pPr>
        <w:spacing w:line="360" w:lineRule="auto"/>
        <w:rPr>
          <w:rFonts w:ascii="宋体" w:hAnsi="宋体" w:cs="宋体"/>
          <w:sz w:val="24"/>
        </w:rPr>
      </w:pPr>
      <w:r>
        <w:rPr>
          <w:rFonts w:hint="eastAsia" w:ascii="宋体" w:hAnsi="宋体" w:cs="宋体"/>
          <w:sz w:val="24"/>
        </w:rPr>
        <w:tab/>
      </w:r>
    </w:p>
    <w:p>
      <w:pPr>
        <w:spacing w:line="360" w:lineRule="auto"/>
        <w:ind w:firstLine="360" w:firstLineChars="150"/>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（公章）</w:t>
      </w:r>
    </w:p>
    <w:p>
      <w:pPr>
        <w:spacing w:line="360" w:lineRule="auto"/>
        <w:rPr>
          <w:rFonts w:ascii="宋体" w:hAnsi="宋体" w:cs="宋体"/>
          <w:sz w:val="24"/>
        </w:rPr>
      </w:pPr>
      <w:r>
        <w:rPr>
          <w:rFonts w:hint="eastAsia" w:ascii="宋体" w:hAnsi="宋体" w:cs="宋体"/>
          <w:sz w:val="24"/>
        </w:rPr>
        <w:t xml:space="preserve">   </w:t>
      </w:r>
    </w:p>
    <w:p>
      <w:pPr>
        <w:spacing w:line="360" w:lineRule="auto"/>
        <w:ind w:firstLine="360" w:firstLineChars="150"/>
        <w:rPr>
          <w:rFonts w:ascii="宋体" w:hAnsi="宋体" w:cs="宋体"/>
          <w:sz w:val="24"/>
        </w:rPr>
      </w:pPr>
      <w:r>
        <w:rPr>
          <w:rFonts w:hint="eastAsia" w:ascii="宋体" w:hAnsi="宋体" w:cs="宋体"/>
          <w:sz w:val="24"/>
        </w:rPr>
        <w:t>法定代表人或被授权代表签字或盖章：</w:t>
      </w:r>
      <w:r>
        <w:rPr>
          <w:rFonts w:hint="eastAsia" w:ascii="宋体" w:hAnsi="宋体" w:cs="宋体"/>
          <w:sz w:val="24"/>
          <w:u w:val="single"/>
        </w:rPr>
        <w:t xml:space="preserve">           </w:t>
      </w:r>
    </w:p>
    <w:p>
      <w:pPr>
        <w:spacing w:line="360" w:lineRule="auto"/>
        <w:ind w:firstLine="360" w:firstLineChars="150"/>
        <w:rPr>
          <w:rFonts w:ascii="宋体" w:hAnsi="宋体" w:cs="宋体"/>
        </w:rPr>
      </w:pPr>
      <w:r>
        <w:rPr>
          <w:rFonts w:hint="eastAsia" w:ascii="宋体" w:hAnsi="宋体" w:cs="宋体"/>
          <w:sz w:val="24"/>
        </w:rPr>
        <w:t xml:space="preserve">日期：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pStyle w:val="4"/>
        <w:adjustRightInd w:val="0"/>
        <w:spacing w:line="360" w:lineRule="auto"/>
        <w:textAlignment w:val="baseline"/>
        <w:outlineLvl w:val="9"/>
        <w:rPr>
          <w:rFonts w:ascii="宋体" w:hAnsi="宋体" w:eastAsia="宋体" w:cs="宋体"/>
        </w:rPr>
        <w:sectPr>
          <w:footnotePr>
            <w:pos w:val="beneathText"/>
          </w:footnotePr>
          <w:pgSz w:w="11906" w:h="16838"/>
          <w:pgMar w:top="1440" w:right="1423" w:bottom="1219" w:left="1644" w:header="851" w:footer="992" w:gutter="0"/>
          <w:pgNumType w:fmt="decimal"/>
          <w:cols w:space="720" w:num="1"/>
          <w:titlePg/>
          <w:docGrid w:linePitch="312" w:charSpace="0"/>
        </w:sectPr>
      </w:pPr>
    </w:p>
    <w:p>
      <w:pPr>
        <w:pStyle w:val="4"/>
        <w:adjustRightInd w:val="0"/>
        <w:spacing w:line="360" w:lineRule="auto"/>
        <w:textAlignment w:val="baseline"/>
        <w:rPr>
          <w:rFonts w:ascii="宋体" w:hAnsi="宋体" w:eastAsia="宋体" w:cs="宋体"/>
        </w:rPr>
      </w:pPr>
      <w:bookmarkStart w:id="379" w:name="_Toc13718"/>
      <w:bookmarkStart w:id="380" w:name="_Toc17396"/>
      <w:bookmarkStart w:id="381" w:name="_Toc1274"/>
      <w:bookmarkStart w:id="382" w:name="_Toc24145"/>
      <w:bookmarkStart w:id="383" w:name="_Toc21007"/>
      <w:bookmarkStart w:id="384" w:name="_Toc26345"/>
      <w:bookmarkStart w:id="385" w:name="_Toc10152"/>
      <w:r>
        <w:rPr>
          <w:rFonts w:hint="eastAsia" w:ascii="宋体" w:hAnsi="宋体" w:eastAsia="宋体" w:cs="宋体"/>
        </w:rPr>
        <w:t>磋商报价表</w:t>
      </w:r>
      <w:bookmarkEnd w:id="342"/>
      <w:bookmarkEnd w:id="343"/>
      <w:bookmarkEnd w:id="379"/>
      <w:bookmarkEnd w:id="380"/>
      <w:bookmarkEnd w:id="381"/>
      <w:bookmarkEnd w:id="382"/>
      <w:bookmarkEnd w:id="383"/>
      <w:bookmarkEnd w:id="384"/>
      <w:bookmarkEnd w:id="385"/>
    </w:p>
    <w:bookmarkEnd w:id="344"/>
    <w:bookmarkEnd w:id="345"/>
    <w:bookmarkEnd w:id="346"/>
    <w:bookmarkEnd w:id="347"/>
    <w:bookmarkEnd w:id="348"/>
    <w:bookmarkEnd w:id="349"/>
    <w:bookmarkEnd w:id="350"/>
    <w:p>
      <w:pPr>
        <w:spacing w:line="360" w:lineRule="auto"/>
        <w:rPr>
          <w:rFonts w:ascii="宋体" w:hAnsi="宋体" w:cs="宋体"/>
        </w:rPr>
      </w:pPr>
      <w:bookmarkStart w:id="386" w:name="_Toc497711590"/>
      <w:bookmarkStart w:id="387" w:name="_Toc385992405"/>
      <w:bookmarkStart w:id="388" w:name="_Toc246928964"/>
      <w:bookmarkStart w:id="389" w:name="_Toc492955464"/>
      <w:bookmarkStart w:id="390" w:name="_Hlt491766443"/>
      <w:bookmarkStart w:id="391" w:name="_Toc497546923"/>
      <w:bookmarkStart w:id="392" w:name="_Toc497551825"/>
      <w:bookmarkStart w:id="393" w:name="_Toc497712138"/>
      <w:bookmarkStart w:id="394" w:name="_Toc389620245"/>
    </w:p>
    <w:tbl>
      <w:tblPr>
        <w:tblStyle w:val="41"/>
        <w:tblW w:w="0" w:type="auto"/>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48"/>
        <w:gridCol w:w="630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4" w:hRule="atLeast"/>
        </w:trPr>
        <w:tc>
          <w:tcPr>
            <w:tcW w:w="2448" w:type="dxa"/>
            <w:tcBorders>
              <w:bottom w:val="single" w:color="auto" w:sz="4" w:space="0"/>
            </w:tcBorders>
            <w:vAlign w:val="center"/>
          </w:tcPr>
          <w:p>
            <w:pPr>
              <w:spacing w:line="360" w:lineRule="auto"/>
              <w:jc w:val="center"/>
              <w:rPr>
                <w:rFonts w:ascii="宋体" w:hAnsi="宋体" w:cs="宋体"/>
                <w:caps/>
                <w:sz w:val="24"/>
              </w:rPr>
            </w:pPr>
            <w:r>
              <w:rPr>
                <w:rFonts w:hint="eastAsia" w:ascii="宋体" w:hAnsi="宋体" w:cs="宋体"/>
                <w:sz w:val="24"/>
              </w:rPr>
              <w:t>采购项目名称</w:t>
            </w:r>
          </w:p>
        </w:tc>
        <w:tc>
          <w:tcPr>
            <w:tcW w:w="6300" w:type="dxa"/>
            <w:vAlign w:val="center"/>
          </w:tcPr>
          <w:p>
            <w:pPr>
              <w:spacing w:line="360" w:lineRule="auto"/>
              <w:jc w:val="center"/>
              <w:rPr>
                <w:rFonts w:ascii="宋体" w:hAnsi="宋体" w:cs="宋体"/>
                <w:caps/>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683" w:hRule="atLeast"/>
        </w:trPr>
        <w:tc>
          <w:tcPr>
            <w:tcW w:w="2448" w:type="dxa"/>
            <w:tcBorders>
              <w:bottom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采购项目编号</w:t>
            </w:r>
          </w:p>
        </w:tc>
        <w:tc>
          <w:tcPr>
            <w:tcW w:w="6300" w:type="dxa"/>
            <w:tcBorders>
              <w:bottom w:val="single" w:color="auto" w:sz="4" w:space="0"/>
            </w:tcBorders>
            <w:vAlign w:val="center"/>
          </w:tcPr>
          <w:p>
            <w:pPr>
              <w:spacing w:line="360" w:lineRule="auto"/>
              <w:jc w:val="center"/>
              <w:rPr>
                <w:rFonts w:ascii="宋体" w:hAnsi="宋体" w:cs="宋体"/>
                <w:caps/>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861" w:hRule="atLeast"/>
        </w:trPr>
        <w:tc>
          <w:tcPr>
            <w:tcW w:w="2448" w:type="dxa"/>
            <w:vAlign w:val="center"/>
          </w:tcPr>
          <w:p>
            <w:pPr>
              <w:spacing w:line="360" w:lineRule="auto"/>
              <w:jc w:val="center"/>
              <w:rPr>
                <w:rFonts w:ascii="宋体" w:hAnsi="宋体" w:cs="宋体"/>
                <w:sz w:val="24"/>
              </w:rPr>
            </w:pPr>
            <w:r>
              <w:rPr>
                <w:rFonts w:hint="eastAsia" w:ascii="宋体" w:hAnsi="宋体" w:cs="宋体"/>
                <w:sz w:val="24"/>
              </w:rPr>
              <w:t>供 应 商</w:t>
            </w:r>
          </w:p>
        </w:tc>
        <w:tc>
          <w:tcPr>
            <w:tcW w:w="6300" w:type="dxa"/>
            <w:vAlign w:val="center"/>
          </w:tcPr>
          <w:p>
            <w:pPr>
              <w:spacing w:line="360" w:lineRule="auto"/>
              <w:jc w:val="center"/>
              <w:rPr>
                <w:rFonts w:ascii="宋体" w:hAnsi="宋体" w:cs="宋体"/>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677" w:hRule="atLeast"/>
        </w:trPr>
        <w:tc>
          <w:tcPr>
            <w:tcW w:w="2448" w:type="dxa"/>
            <w:vAlign w:val="center"/>
          </w:tcPr>
          <w:p>
            <w:pPr>
              <w:spacing w:line="360" w:lineRule="auto"/>
              <w:jc w:val="center"/>
              <w:rPr>
                <w:rFonts w:ascii="宋体" w:hAnsi="宋体" w:cs="宋体"/>
                <w:sz w:val="24"/>
              </w:rPr>
            </w:pPr>
            <w:r>
              <w:rPr>
                <w:rFonts w:hint="eastAsia" w:ascii="宋体" w:hAnsi="宋体" w:cs="宋体"/>
                <w:sz w:val="24"/>
              </w:rPr>
              <w:t>磋商报价</w:t>
            </w:r>
          </w:p>
        </w:tc>
        <w:tc>
          <w:tcPr>
            <w:tcW w:w="6300" w:type="dxa"/>
          </w:tcPr>
          <w:p>
            <w:pPr>
              <w:spacing w:line="360" w:lineRule="auto"/>
            </w:pPr>
          </w:p>
          <w:p>
            <w:pPr>
              <w:pStyle w:val="2"/>
              <w:rPr>
                <w:rFonts w:hint="default"/>
                <w:lang w:val="en-US" w:eastAsia="zh-CN"/>
              </w:rPr>
            </w:pPr>
            <w:r>
              <w:rPr>
                <w:rFonts w:hint="eastAsia" w:ascii="Times New Roman" w:hAnsi="Times New Roman" w:eastAsia="宋体" w:cs="Times New Roman"/>
                <w:b w:val="0"/>
                <w:kern w:val="2"/>
                <w:sz w:val="21"/>
                <w:lang w:val="en-US" w:eastAsia="zh-CN" w:bidi="ar-SA"/>
              </w:rPr>
              <w:t>充电单价：</w:t>
            </w:r>
            <w:r>
              <w:rPr>
                <w:rFonts w:hint="eastAsia" w:cs="Times New Roman"/>
                <w:b w:val="0"/>
                <w:kern w:val="2"/>
                <w:sz w:val="21"/>
                <w:lang w:val="en-US" w:eastAsia="zh-CN" w:bidi="ar-SA"/>
              </w:rPr>
              <w:t xml:space="preserve">   元/时</w:t>
            </w:r>
          </w:p>
        </w:tc>
      </w:tr>
    </w:tbl>
    <w:p>
      <w:pPr>
        <w:spacing w:line="360" w:lineRule="auto"/>
        <w:rPr>
          <w:rFonts w:ascii="宋体" w:hAnsi="宋体" w:cs="宋体"/>
          <w:sz w:val="24"/>
        </w:rPr>
      </w:pPr>
    </w:p>
    <w:p>
      <w:pPr>
        <w:spacing w:line="360" w:lineRule="auto"/>
        <w:rPr>
          <w:rFonts w:ascii="宋体" w:hAnsi="宋体" w:cs="宋体"/>
          <w:sz w:val="24"/>
          <w:szCs w:val="24"/>
        </w:rPr>
      </w:pPr>
      <w:r>
        <w:rPr>
          <w:rFonts w:hint="eastAsia" w:ascii="宋体" w:hAnsi="宋体" w:cs="宋体"/>
          <w:sz w:val="24"/>
          <w:szCs w:val="24"/>
        </w:rPr>
        <w:t>说明：</w:t>
      </w:r>
    </w:p>
    <w:p>
      <w:pPr>
        <w:spacing w:line="360" w:lineRule="auto"/>
        <w:jc w:val="left"/>
        <w:rPr>
          <w:rFonts w:ascii="宋体" w:hAnsi="宋体" w:cs="宋体"/>
          <w:bCs/>
          <w:sz w:val="24"/>
          <w:szCs w:val="24"/>
        </w:rPr>
      </w:pPr>
      <w:r>
        <w:rPr>
          <w:rFonts w:hint="eastAsia" w:ascii="宋体" w:hAnsi="宋体" w:cs="宋体"/>
          <w:sz w:val="24"/>
        </w:rPr>
        <w:t>1、磋商总报价系指投标供应商完成磋商文件规定的各项工作所产生的费用合价</w:t>
      </w:r>
      <w:r>
        <w:rPr>
          <w:rFonts w:hint="eastAsia" w:ascii="宋体" w:hAnsi="宋体" w:cs="宋体"/>
          <w:bCs/>
          <w:sz w:val="24"/>
          <w:szCs w:val="24"/>
        </w:rPr>
        <w:t>。</w:t>
      </w:r>
    </w:p>
    <w:p>
      <w:pPr>
        <w:spacing w:line="360" w:lineRule="auto"/>
        <w:jc w:val="left"/>
        <w:rPr>
          <w:rFonts w:ascii="宋体" w:hAnsi="宋体" w:cs="宋体"/>
          <w:bCs/>
          <w:sz w:val="24"/>
          <w:szCs w:val="24"/>
        </w:rPr>
      </w:pPr>
      <w:r>
        <w:rPr>
          <w:rFonts w:hint="eastAsia" w:ascii="宋体" w:hAnsi="宋体" w:cs="宋体"/>
          <w:bCs/>
          <w:sz w:val="24"/>
          <w:szCs w:val="24"/>
        </w:rPr>
        <w:t>2、供应商报价不能超出采购预算，超出采购预算视为无效报价。</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30"/>
        </w:rPr>
      </w:pPr>
    </w:p>
    <w:p>
      <w:pPr>
        <w:spacing w:line="360" w:lineRule="auto"/>
        <w:ind w:right="-161" w:firstLine="2640" w:firstLineChars="1100"/>
        <w:rPr>
          <w:rFonts w:ascii="宋体" w:hAnsi="宋体" w:cs="宋体"/>
          <w:sz w:val="24"/>
          <w:szCs w:val="24"/>
          <w:u w:val="single"/>
        </w:rPr>
      </w:pP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u w:val="single"/>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bookmarkEnd w:id="386"/>
    <w:bookmarkEnd w:id="387"/>
    <w:bookmarkEnd w:id="388"/>
    <w:bookmarkEnd w:id="389"/>
    <w:bookmarkEnd w:id="390"/>
    <w:bookmarkEnd w:id="391"/>
    <w:bookmarkEnd w:id="392"/>
    <w:bookmarkEnd w:id="393"/>
    <w:bookmarkEnd w:id="394"/>
    <w:p>
      <w:pPr>
        <w:pStyle w:val="4"/>
        <w:adjustRightInd w:val="0"/>
        <w:spacing w:line="360" w:lineRule="auto"/>
        <w:textAlignment w:val="baseline"/>
        <w:rPr>
          <w:rFonts w:ascii="宋体" w:hAnsi="宋体" w:eastAsia="宋体" w:cs="宋体"/>
          <w:sz w:val="24"/>
        </w:rPr>
      </w:pPr>
      <w:bookmarkStart w:id="395" w:name="_Toc29934"/>
      <w:bookmarkStart w:id="396" w:name="_Toc415647288"/>
      <w:bookmarkStart w:id="397" w:name="_Toc20933"/>
      <w:bookmarkStart w:id="398" w:name="_Toc438047768"/>
      <w:bookmarkStart w:id="399" w:name="_Toc22336"/>
      <w:bookmarkStart w:id="400" w:name="_Toc23522"/>
      <w:bookmarkStart w:id="401" w:name="_Toc8031"/>
      <w:bookmarkStart w:id="402" w:name="_Toc27648"/>
      <w:bookmarkStart w:id="403" w:name="_Toc28272"/>
      <w:bookmarkStart w:id="404" w:name="_Toc12013"/>
      <w:bookmarkStart w:id="405" w:name="_Toc27696"/>
      <w:bookmarkStart w:id="406" w:name="_Toc246928972"/>
      <w:bookmarkStart w:id="407" w:name="_Toc497711599"/>
      <w:bookmarkStart w:id="408" w:name="_Toc492955473"/>
      <w:bookmarkStart w:id="409" w:name="_Toc497712147"/>
      <w:bookmarkStart w:id="410" w:name="_Toc385992410"/>
      <w:bookmarkStart w:id="411" w:name="_Toc497551834"/>
      <w:bookmarkStart w:id="412" w:name="_Toc389620250"/>
      <w:bookmarkStart w:id="413" w:name="_Toc497546932"/>
      <w:r>
        <w:rPr>
          <w:rFonts w:hint="eastAsia" w:ascii="宋体" w:hAnsi="宋体" w:eastAsia="宋体" w:cs="宋体"/>
          <w:szCs w:val="22"/>
        </w:rPr>
        <w:t>分项报价表</w:t>
      </w:r>
      <w:bookmarkEnd w:id="395"/>
      <w:bookmarkEnd w:id="396"/>
      <w:bookmarkEnd w:id="397"/>
      <w:bookmarkEnd w:id="398"/>
      <w:bookmarkEnd w:id="399"/>
      <w:bookmarkEnd w:id="400"/>
      <w:bookmarkEnd w:id="401"/>
      <w:bookmarkEnd w:id="402"/>
      <w:bookmarkEnd w:id="403"/>
      <w:bookmarkEnd w:id="404"/>
    </w:p>
    <w:p>
      <w:pPr>
        <w:spacing w:line="360" w:lineRule="auto"/>
        <w:rPr>
          <w:rFonts w:ascii="宋体" w:hAnsi="宋体" w:cs="宋体"/>
          <w:sz w:val="24"/>
          <w:u w:val="single"/>
        </w:rPr>
      </w:pPr>
      <w:bookmarkStart w:id="414" w:name="OLE_LINK6"/>
      <w:bookmarkStart w:id="415" w:name="OLE_LINK5"/>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采购项目编号：</w:t>
      </w:r>
      <w:r>
        <w:rPr>
          <w:rFonts w:hint="eastAsia" w:ascii="宋体" w:hAnsi="宋体" w:cs="宋体"/>
          <w:sz w:val="24"/>
          <w:u w:val="single"/>
        </w:rPr>
        <w:t xml:space="preserve">       </w:t>
      </w:r>
      <w:bookmarkEnd w:id="414"/>
      <w:bookmarkEnd w:id="415"/>
      <w:r>
        <w:rPr>
          <w:rFonts w:hint="eastAsia" w:ascii="宋体" w:hAnsi="宋体" w:cs="宋体"/>
          <w:sz w:val="24"/>
          <w:u w:val="single"/>
        </w:rPr>
        <w:t xml:space="preserve">        </w:t>
      </w:r>
    </w:p>
    <w:tbl>
      <w:tblPr>
        <w:tblStyle w:val="41"/>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14"/>
        <w:gridCol w:w="1246"/>
        <w:gridCol w:w="915"/>
        <w:gridCol w:w="720"/>
        <w:gridCol w:w="855"/>
        <w:gridCol w:w="655"/>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733"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序号</w:t>
            </w:r>
          </w:p>
        </w:tc>
        <w:tc>
          <w:tcPr>
            <w:tcW w:w="1246" w:type="dxa"/>
            <w:tcBorders>
              <w:left w:val="single" w:color="auto" w:sz="4" w:space="0"/>
            </w:tcBorders>
            <w:vAlign w:val="center"/>
          </w:tcPr>
          <w:p>
            <w:pPr>
              <w:pStyle w:val="143"/>
              <w:widowControl w:val="0"/>
              <w:spacing w:line="360" w:lineRule="auto"/>
              <w:rPr>
                <w:rFonts w:hint="default" w:cs="宋体"/>
                <w:kern w:val="2"/>
              </w:rPr>
            </w:pPr>
            <w:r>
              <w:rPr>
                <w:rFonts w:cs="宋体"/>
                <w:kern w:val="2"/>
              </w:rPr>
              <w:t>名称</w:t>
            </w:r>
          </w:p>
        </w:tc>
        <w:tc>
          <w:tcPr>
            <w:tcW w:w="915" w:type="dxa"/>
            <w:vAlign w:val="center"/>
          </w:tcPr>
          <w:p>
            <w:pPr>
              <w:spacing w:line="360" w:lineRule="auto"/>
              <w:jc w:val="center"/>
              <w:rPr>
                <w:rFonts w:ascii="宋体" w:hAnsi="宋体" w:cs="宋体"/>
                <w:sz w:val="24"/>
              </w:rPr>
            </w:pPr>
            <w:r>
              <w:rPr>
                <w:rFonts w:hint="eastAsia" w:ascii="宋体" w:hAnsi="宋体" w:cs="宋体"/>
                <w:sz w:val="24"/>
              </w:rPr>
              <w:t>单位</w:t>
            </w:r>
          </w:p>
        </w:tc>
        <w:tc>
          <w:tcPr>
            <w:tcW w:w="720" w:type="dxa"/>
            <w:vAlign w:val="center"/>
          </w:tcPr>
          <w:p>
            <w:pPr>
              <w:spacing w:line="360" w:lineRule="auto"/>
              <w:jc w:val="center"/>
              <w:rPr>
                <w:rFonts w:ascii="宋体" w:hAnsi="宋体" w:cs="宋体"/>
                <w:sz w:val="24"/>
              </w:rPr>
            </w:pPr>
            <w:r>
              <w:rPr>
                <w:rFonts w:hint="eastAsia" w:ascii="宋体" w:hAnsi="宋体" w:cs="宋体"/>
                <w:sz w:val="24"/>
              </w:rPr>
              <w:t>数量</w:t>
            </w:r>
          </w:p>
        </w:tc>
        <w:tc>
          <w:tcPr>
            <w:tcW w:w="855" w:type="dxa"/>
            <w:vAlign w:val="center"/>
          </w:tcPr>
          <w:p>
            <w:pPr>
              <w:spacing w:line="360" w:lineRule="auto"/>
              <w:jc w:val="center"/>
              <w:rPr>
                <w:rFonts w:ascii="宋体" w:hAnsi="宋体" w:cs="宋体"/>
                <w:sz w:val="24"/>
              </w:rPr>
            </w:pPr>
            <w:r>
              <w:rPr>
                <w:rFonts w:hint="eastAsia" w:ascii="宋体" w:hAnsi="宋体" w:cs="宋体"/>
                <w:sz w:val="24"/>
              </w:rPr>
              <w:t>单价</w:t>
            </w:r>
          </w:p>
        </w:tc>
        <w:tc>
          <w:tcPr>
            <w:tcW w:w="655" w:type="dxa"/>
            <w:vAlign w:val="center"/>
          </w:tcPr>
          <w:p>
            <w:pPr>
              <w:spacing w:line="360" w:lineRule="auto"/>
              <w:jc w:val="center"/>
              <w:rPr>
                <w:rFonts w:ascii="宋体" w:hAnsi="宋体" w:cs="宋体"/>
                <w:sz w:val="24"/>
              </w:rPr>
            </w:pPr>
            <w:r>
              <w:rPr>
                <w:rFonts w:hint="eastAsia" w:ascii="宋体" w:hAnsi="宋体" w:cs="宋体"/>
                <w:sz w:val="24"/>
              </w:rPr>
              <w:t>总价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1</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06"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2</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3</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4</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606"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5</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6</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cantSplit/>
          <w:trHeight w:val="568" w:hRule="atLeast"/>
          <w:jc w:val="center"/>
        </w:trPr>
        <w:tc>
          <w:tcPr>
            <w:tcW w:w="714" w:type="dxa"/>
            <w:tcBorders>
              <w:right w:val="single" w:color="auto" w:sz="4" w:space="0"/>
            </w:tcBorders>
            <w:vAlign w:val="center"/>
          </w:tcPr>
          <w:p>
            <w:pPr>
              <w:spacing w:line="360" w:lineRule="auto"/>
              <w:jc w:val="center"/>
              <w:rPr>
                <w:rFonts w:ascii="宋体" w:hAnsi="宋体" w:cs="宋体"/>
                <w:sz w:val="24"/>
              </w:rPr>
            </w:pPr>
            <w:r>
              <w:rPr>
                <w:rFonts w:hint="eastAsia" w:ascii="宋体" w:hAnsi="宋体" w:cs="宋体"/>
                <w:sz w:val="24"/>
              </w:rPr>
              <w:t>7</w:t>
            </w:r>
          </w:p>
        </w:tc>
        <w:tc>
          <w:tcPr>
            <w:tcW w:w="1246" w:type="dxa"/>
            <w:tcBorders>
              <w:left w:val="single" w:color="auto" w:sz="4" w:space="0"/>
            </w:tcBorders>
            <w:vAlign w:val="center"/>
          </w:tcPr>
          <w:p>
            <w:pPr>
              <w:spacing w:line="360" w:lineRule="auto"/>
              <w:rPr>
                <w:rFonts w:ascii="宋体" w:hAnsi="宋体" w:cs="宋体"/>
                <w:sz w:val="24"/>
              </w:rPr>
            </w:pPr>
          </w:p>
        </w:tc>
        <w:tc>
          <w:tcPr>
            <w:tcW w:w="915" w:type="dxa"/>
          </w:tcPr>
          <w:p>
            <w:pPr>
              <w:spacing w:line="360" w:lineRule="auto"/>
              <w:rPr>
                <w:rFonts w:ascii="宋体" w:hAnsi="宋体" w:cs="宋体"/>
                <w:sz w:val="24"/>
              </w:rPr>
            </w:pPr>
          </w:p>
        </w:tc>
        <w:tc>
          <w:tcPr>
            <w:tcW w:w="720" w:type="dxa"/>
            <w:vAlign w:val="center"/>
          </w:tcPr>
          <w:p>
            <w:pPr>
              <w:spacing w:line="360" w:lineRule="auto"/>
              <w:rPr>
                <w:rFonts w:ascii="宋体" w:hAnsi="宋体" w:cs="宋体"/>
                <w:sz w:val="24"/>
              </w:rPr>
            </w:pPr>
          </w:p>
        </w:tc>
        <w:tc>
          <w:tcPr>
            <w:tcW w:w="855" w:type="dxa"/>
            <w:vAlign w:val="center"/>
          </w:tcPr>
          <w:p>
            <w:pPr>
              <w:spacing w:line="360" w:lineRule="auto"/>
              <w:rPr>
                <w:rFonts w:ascii="宋体" w:hAnsi="宋体" w:cs="宋体"/>
                <w:sz w:val="24"/>
              </w:rPr>
            </w:pPr>
          </w:p>
        </w:tc>
        <w:tc>
          <w:tcPr>
            <w:tcW w:w="655" w:type="dxa"/>
            <w:vAlign w:val="center"/>
          </w:tcPr>
          <w:p>
            <w:pPr>
              <w:spacing w:line="360" w:lineRule="auto"/>
              <w:rPr>
                <w:rFonts w:ascii="宋体" w:hAnsi="宋体" w:cs="宋体"/>
                <w:sz w:val="24"/>
              </w:rPr>
            </w:pPr>
          </w:p>
        </w:tc>
      </w:tr>
    </w:tbl>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sz w:val="24"/>
        </w:rPr>
        <w:t>注：1、供应商须按照此表格式进行填写。</w:t>
      </w:r>
    </w:p>
    <w:p>
      <w:pPr>
        <w:adjustRightInd w:val="0"/>
        <w:snapToGrid w:val="0"/>
        <w:spacing w:line="360" w:lineRule="auto"/>
        <w:ind w:firstLine="480"/>
        <w:rPr>
          <w:rFonts w:ascii="宋体" w:hAnsi="宋体" w:cs="宋体"/>
          <w:sz w:val="24"/>
        </w:rPr>
      </w:pPr>
      <w:r>
        <w:rPr>
          <w:rFonts w:hint="eastAsia" w:ascii="宋体" w:hAnsi="宋体" w:cs="宋体"/>
          <w:sz w:val="24"/>
        </w:rPr>
        <w:t>2、在合同履行期内，若无采购数量变更，合同价格不受国家政策性调价或原材料市场价格变化的影响，并作为最终结算的依据。</w:t>
      </w:r>
    </w:p>
    <w:p>
      <w:pPr>
        <w:spacing w:line="360" w:lineRule="auto"/>
        <w:rPr>
          <w:rFonts w:ascii="宋体" w:hAnsi="宋体" w:cs="宋体"/>
          <w:sz w:val="24"/>
        </w:rPr>
      </w:pPr>
    </w:p>
    <w:p>
      <w:pPr>
        <w:pStyle w:val="26"/>
        <w:spacing w:line="360" w:lineRule="auto"/>
        <w:rPr>
          <w:rFonts w:ascii="宋体" w:hAnsi="宋体" w:cs="宋体"/>
          <w:sz w:val="24"/>
        </w:rPr>
      </w:pPr>
    </w:p>
    <w:p>
      <w:pPr>
        <w:pStyle w:val="26"/>
        <w:spacing w:line="360" w:lineRule="auto"/>
        <w:rPr>
          <w:rFonts w:ascii="宋体" w:hAnsi="宋体" w:cs="宋体"/>
          <w:sz w:val="24"/>
        </w:rPr>
      </w:pPr>
    </w:p>
    <w:p>
      <w:pPr>
        <w:pStyle w:val="26"/>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ind w:right="-161" w:firstLine="2640" w:firstLineChars="1100"/>
        <w:rPr>
          <w:rFonts w:ascii="宋体" w:hAnsi="宋体" w:cs="宋体"/>
          <w:sz w:val="24"/>
          <w:szCs w:val="24"/>
          <w:u w:val="single"/>
        </w:rPr>
      </w:pP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p>
      <w:pPr>
        <w:spacing w:line="360" w:lineRule="auto"/>
        <w:rPr>
          <w:rFonts w:ascii="宋体" w:hAnsi="宋体" w:cs="宋体"/>
          <w:sz w:val="24"/>
        </w:rPr>
      </w:pPr>
    </w:p>
    <w:bookmarkEnd w:id="405"/>
    <w:p>
      <w:pPr>
        <w:pStyle w:val="4"/>
        <w:adjustRightInd w:val="0"/>
        <w:spacing w:line="360" w:lineRule="auto"/>
        <w:textAlignment w:val="baseline"/>
        <w:rPr>
          <w:rFonts w:ascii="宋体" w:hAnsi="宋体" w:eastAsia="宋体" w:cs="宋体"/>
        </w:rPr>
      </w:pPr>
      <w:bookmarkStart w:id="416" w:name="_Hlt491572882"/>
      <w:bookmarkEnd w:id="416"/>
      <w:bookmarkStart w:id="417" w:name="_Hlt491765944"/>
      <w:bookmarkEnd w:id="417"/>
      <w:bookmarkStart w:id="418" w:name="_Hlt491765868"/>
      <w:bookmarkEnd w:id="418"/>
      <w:bookmarkStart w:id="419" w:name="_Hlt491573425"/>
      <w:bookmarkEnd w:id="419"/>
      <w:bookmarkStart w:id="420" w:name="_Hlt491766019"/>
      <w:bookmarkEnd w:id="420"/>
      <w:bookmarkStart w:id="421" w:name="_Toc173809567"/>
      <w:bookmarkStart w:id="422" w:name="_Toc4879"/>
      <w:bookmarkStart w:id="423" w:name="_Toc29197"/>
      <w:bookmarkStart w:id="424" w:name="_Toc20353"/>
      <w:bookmarkStart w:id="425" w:name="_Toc16562"/>
      <w:bookmarkStart w:id="426" w:name="_Toc1659"/>
      <w:bookmarkStart w:id="427" w:name="_Toc167595494"/>
      <w:bookmarkStart w:id="428" w:name="_Toc11957"/>
      <w:bookmarkStart w:id="429" w:name="_Toc246928970"/>
      <w:bookmarkStart w:id="430" w:name="_Toc5373"/>
      <w:bookmarkStart w:id="431" w:name="_Toc24720"/>
      <w:bookmarkStart w:id="432" w:name="_Toc492955471"/>
      <w:bookmarkStart w:id="433" w:name="_Toc497711597"/>
      <w:bookmarkStart w:id="434" w:name="_Toc497546930"/>
      <w:bookmarkStart w:id="435" w:name="_Toc497551832"/>
      <w:bookmarkStart w:id="436" w:name="_Toc497712145"/>
      <w:r>
        <w:rPr>
          <w:rFonts w:hint="eastAsia" w:ascii="宋体" w:hAnsi="宋体" w:eastAsia="宋体" w:cs="宋体"/>
        </w:rPr>
        <w:t>业绩一览表</w:t>
      </w:r>
      <w:bookmarkEnd w:id="421"/>
      <w:bookmarkEnd w:id="422"/>
      <w:bookmarkEnd w:id="423"/>
      <w:bookmarkEnd w:id="424"/>
      <w:bookmarkEnd w:id="425"/>
      <w:bookmarkEnd w:id="426"/>
      <w:bookmarkEnd w:id="427"/>
      <w:bookmarkEnd w:id="428"/>
      <w:bookmarkEnd w:id="429"/>
      <w:bookmarkEnd w:id="430"/>
      <w:bookmarkEnd w:id="431"/>
    </w:p>
    <w:p>
      <w:pPr>
        <w:spacing w:line="360" w:lineRule="auto"/>
        <w:rPr>
          <w:rFonts w:ascii="宋体" w:hAnsi="宋体" w:cs="宋体"/>
          <w:u w:val="single"/>
        </w:rPr>
      </w:pPr>
      <w:r>
        <w:rPr>
          <w:rFonts w:hint="eastAsia" w:ascii="宋体" w:hAnsi="宋体" w:cs="宋体"/>
          <w:sz w:val="24"/>
        </w:rPr>
        <w:t xml:space="preserve">供应商名称： </w:t>
      </w:r>
      <w:r>
        <w:rPr>
          <w:rFonts w:hint="eastAsia" w:ascii="宋体" w:hAnsi="宋体" w:cs="宋体"/>
          <w:sz w:val="24"/>
          <w:u w:val="single"/>
        </w:rPr>
        <w:t xml:space="preserve">              </w:t>
      </w:r>
      <w:r>
        <w:rPr>
          <w:rFonts w:hint="eastAsia" w:ascii="宋体" w:hAnsi="宋体" w:cs="宋体"/>
          <w:sz w:val="24"/>
        </w:rPr>
        <w:t>采购项目编号：</w:t>
      </w:r>
      <w:r>
        <w:rPr>
          <w:rFonts w:hint="eastAsia" w:ascii="宋体" w:hAnsi="宋体" w:cs="宋体"/>
          <w:sz w:val="24"/>
          <w:u w:val="single"/>
        </w:rPr>
        <w:t xml:space="preserve">             </w:t>
      </w:r>
    </w:p>
    <w:tbl>
      <w:tblPr>
        <w:tblStyle w:val="41"/>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065"/>
        <w:gridCol w:w="1508"/>
        <w:gridCol w:w="1525"/>
        <w:gridCol w:w="1520"/>
        <w:gridCol w:w="262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Cs/>
                <w:sz w:val="24"/>
              </w:rPr>
            </w:pPr>
            <w:r>
              <w:rPr>
                <w:rFonts w:hint="eastAsia" w:ascii="宋体" w:hAnsi="宋体" w:cs="宋体"/>
                <w:bCs/>
                <w:sz w:val="24"/>
              </w:rPr>
              <w:t>序号</w:t>
            </w:r>
          </w:p>
        </w:tc>
        <w:tc>
          <w:tcPr>
            <w:tcW w:w="1065" w:type="dxa"/>
            <w:vAlign w:val="center"/>
          </w:tcPr>
          <w:p>
            <w:pPr>
              <w:spacing w:line="360" w:lineRule="auto"/>
              <w:jc w:val="center"/>
              <w:rPr>
                <w:rFonts w:ascii="宋体" w:hAnsi="宋体" w:cs="宋体"/>
                <w:bCs/>
                <w:sz w:val="24"/>
              </w:rPr>
            </w:pPr>
            <w:r>
              <w:rPr>
                <w:rFonts w:hint="eastAsia" w:ascii="宋体" w:hAnsi="宋体" w:cs="宋体"/>
                <w:bCs/>
                <w:sz w:val="24"/>
              </w:rPr>
              <w:t>采购项目名称</w:t>
            </w:r>
          </w:p>
        </w:tc>
        <w:tc>
          <w:tcPr>
            <w:tcW w:w="1508" w:type="dxa"/>
            <w:vAlign w:val="center"/>
          </w:tcPr>
          <w:p>
            <w:pPr>
              <w:spacing w:line="360" w:lineRule="auto"/>
              <w:jc w:val="center"/>
              <w:rPr>
                <w:rFonts w:ascii="宋体" w:hAnsi="宋体" w:cs="宋体"/>
                <w:bCs/>
                <w:sz w:val="24"/>
              </w:rPr>
            </w:pPr>
            <w:r>
              <w:rPr>
                <w:rFonts w:hint="eastAsia" w:ascii="宋体" w:hAnsi="宋体" w:cs="宋体"/>
                <w:bCs/>
                <w:sz w:val="24"/>
              </w:rPr>
              <w:t>项目内容</w:t>
            </w: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r>
              <w:rPr>
                <w:rFonts w:hint="eastAsia" w:ascii="宋体" w:hAnsi="宋体" w:cs="宋体"/>
                <w:bCs/>
                <w:sz w:val="24"/>
              </w:rPr>
              <w:t>合同金额</w:t>
            </w:r>
          </w:p>
          <w:p>
            <w:pPr>
              <w:spacing w:line="360" w:lineRule="auto"/>
              <w:jc w:val="center"/>
              <w:rPr>
                <w:rFonts w:ascii="宋体" w:hAnsi="宋体" w:cs="宋体"/>
                <w:bCs/>
                <w:sz w:val="24"/>
              </w:rPr>
            </w:pPr>
            <w:r>
              <w:rPr>
                <w:rFonts w:hint="eastAsia" w:ascii="宋体" w:hAnsi="宋体" w:cs="宋体"/>
                <w:bCs/>
                <w:sz w:val="24"/>
              </w:rPr>
              <w:t>（万元）</w:t>
            </w:r>
          </w:p>
        </w:tc>
        <w:tc>
          <w:tcPr>
            <w:tcW w:w="1520" w:type="dxa"/>
            <w:vAlign w:val="center"/>
          </w:tcPr>
          <w:p>
            <w:pPr>
              <w:spacing w:line="360" w:lineRule="auto"/>
              <w:jc w:val="center"/>
              <w:rPr>
                <w:rFonts w:ascii="宋体" w:hAnsi="宋体" w:cs="宋体"/>
                <w:bCs/>
                <w:sz w:val="24"/>
              </w:rPr>
            </w:pPr>
            <w:r>
              <w:rPr>
                <w:rFonts w:hint="eastAsia" w:ascii="宋体" w:hAnsi="宋体" w:cs="宋体"/>
                <w:bCs/>
                <w:sz w:val="24"/>
              </w:rPr>
              <w:t>签订日期</w:t>
            </w:r>
          </w:p>
        </w:tc>
        <w:tc>
          <w:tcPr>
            <w:tcW w:w="2621" w:type="dxa"/>
            <w:vAlign w:val="center"/>
          </w:tcPr>
          <w:p>
            <w:pPr>
              <w:spacing w:line="360" w:lineRule="auto"/>
              <w:jc w:val="center"/>
              <w:rPr>
                <w:rFonts w:ascii="宋体" w:hAnsi="宋体" w:cs="宋体"/>
                <w:bCs/>
                <w:sz w:val="24"/>
              </w:rPr>
            </w:pPr>
            <w:r>
              <w:rPr>
                <w:rFonts w:hint="eastAsia" w:ascii="宋体" w:hAnsi="宋体" w:cs="宋体"/>
                <w:bCs/>
                <w:sz w:val="24"/>
              </w:rPr>
              <w:t>业主名称、联系人及电话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1</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2</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3</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4</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Cs/>
                <w:sz w:val="24"/>
              </w:rPr>
            </w:pPr>
            <w:r>
              <w:rPr>
                <w:rFonts w:hint="eastAsia" w:ascii="宋体" w:hAnsi="宋体" w:cs="宋体"/>
                <w:bCs/>
                <w:sz w:val="24"/>
              </w:rPr>
              <w:t>5</w:t>
            </w:r>
          </w:p>
        </w:tc>
        <w:tc>
          <w:tcPr>
            <w:tcW w:w="1065" w:type="dxa"/>
            <w:vAlign w:val="center"/>
          </w:tcPr>
          <w:p>
            <w:pPr>
              <w:spacing w:line="360" w:lineRule="auto"/>
              <w:jc w:val="center"/>
              <w:rPr>
                <w:rFonts w:ascii="宋体" w:hAnsi="宋体" w:cs="宋体"/>
                <w:bCs/>
                <w:sz w:val="24"/>
              </w:rPr>
            </w:pPr>
          </w:p>
        </w:tc>
        <w:tc>
          <w:tcPr>
            <w:tcW w:w="1508" w:type="dxa"/>
            <w:vAlign w:val="center"/>
          </w:tcPr>
          <w:p>
            <w:pPr>
              <w:spacing w:line="360" w:lineRule="auto"/>
              <w:jc w:val="center"/>
              <w:rPr>
                <w:rFonts w:ascii="宋体" w:hAnsi="宋体" w:cs="宋体"/>
                <w:bCs/>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bCs/>
                <w:sz w:val="24"/>
              </w:rPr>
            </w:pPr>
          </w:p>
        </w:tc>
        <w:tc>
          <w:tcPr>
            <w:tcW w:w="1520" w:type="dxa"/>
            <w:vAlign w:val="center"/>
          </w:tcPr>
          <w:p>
            <w:pPr>
              <w:spacing w:line="360" w:lineRule="auto"/>
              <w:jc w:val="center"/>
              <w:rPr>
                <w:rFonts w:ascii="宋体" w:hAnsi="宋体" w:cs="宋体"/>
                <w:bCs/>
                <w:sz w:val="24"/>
              </w:rPr>
            </w:pPr>
          </w:p>
        </w:tc>
        <w:tc>
          <w:tcPr>
            <w:tcW w:w="2621" w:type="dxa"/>
          </w:tcPr>
          <w:p>
            <w:pPr>
              <w:spacing w:line="360" w:lineRule="auto"/>
              <w:jc w:val="center"/>
              <w:rPr>
                <w:rFonts w:ascii="宋体" w:hAnsi="宋体" w:cs="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r>
              <w:rPr>
                <w:rFonts w:hint="eastAsia" w:ascii="宋体" w:hAnsi="宋体" w:cs="宋体"/>
                <w:b/>
                <w:sz w:val="24"/>
              </w:rPr>
              <w:t>…</w:t>
            </w: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pPr>
              <w:spacing w:line="360" w:lineRule="auto"/>
              <w:ind w:left="120"/>
              <w:jc w:val="center"/>
              <w:rPr>
                <w:rFonts w:ascii="宋体" w:hAnsi="宋体" w:cs="宋体"/>
                <w:b/>
                <w:sz w:val="24"/>
              </w:rPr>
            </w:pPr>
          </w:p>
        </w:tc>
        <w:tc>
          <w:tcPr>
            <w:tcW w:w="1065" w:type="dxa"/>
            <w:vAlign w:val="center"/>
          </w:tcPr>
          <w:p>
            <w:pPr>
              <w:spacing w:line="360" w:lineRule="auto"/>
              <w:jc w:val="center"/>
              <w:rPr>
                <w:rFonts w:ascii="宋体" w:hAnsi="宋体" w:cs="宋体"/>
                <w:sz w:val="24"/>
              </w:rPr>
            </w:pPr>
          </w:p>
        </w:tc>
        <w:tc>
          <w:tcPr>
            <w:tcW w:w="1508" w:type="dxa"/>
            <w:vAlign w:val="center"/>
          </w:tcPr>
          <w:p>
            <w:pPr>
              <w:spacing w:line="360" w:lineRule="auto"/>
              <w:jc w:val="center"/>
              <w:rPr>
                <w:rFonts w:ascii="宋体" w:hAnsi="宋体" w:cs="宋体"/>
                <w:sz w:val="24"/>
              </w:rPr>
            </w:pPr>
          </w:p>
        </w:tc>
        <w:tc>
          <w:tcPr>
            <w:tcW w:w="1525" w:type="dxa"/>
            <w:tcBorders>
              <w:left w:val="single" w:color="auto" w:sz="4" w:space="0"/>
              <w:right w:val="single" w:color="auto" w:sz="4" w:space="0"/>
            </w:tcBorders>
            <w:vAlign w:val="center"/>
          </w:tcPr>
          <w:p>
            <w:pPr>
              <w:spacing w:line="360" w:lineRule="auto"/>
              <w:jc w:val="center"/>
              <w:rPr>
                <w:rFonts w:ascii="宋体" w:hAnsi="宋体" w:cs="宋体"/>
                <w:sz w:val="24"/>
              </w:rPr>
            </w:pPr>
          </w:p>
        </w:tc>
        <w:tc>
          <w:tcPr>
            <w:tcW w:w="1520" w:type="dxa"/>
            <w:vAlign w:val="center"/>
          </w:tcPr>
          <w:p>
            <w:pPr>
              <w:spacing w:line="360" w:lineRule="auto"/>
              <w:jc w:val="center"/>
              <w:rPr>
                <w:rFonts w:ascii="宋体" w:hAnsi="宋体" w:cs="宋体"/>
                <w:sz w:val="24"/>
              </w:rPr>
            </w:pPr>
          </w:p>
        </w:tc>
        <w:tc>
          <w:tcPr>
            <w:tcW w:w="2621" w:type="dxa"/>
          </w:tcPr>
          <w:p>
            <w:pPr>
              <w:spacing w:line="360" w:lineRule="auto"/>
              <w:jc w:val="center"/>
              <w:rPr>
                <w:rFonts w:ascii="宋体" w:hAnsi="宋体" w:cs="宋体"/>
                <w:sz w:val="24"/>
              </w:rPr>
            </w:pPr>
          </w:p>
        </w:tc>
      </w:tr>
    </w:tbl>
    <w:p>
      <w:pPr>
        <w:snapToGrid w:val="0"/>
        <w:spacing w:before="120" w:line="360" w:lineRule="auto"/>
        <w:ind w:left="453" w:leftChars="50" w:right="357" w:hanging="348" w:hangingChars="166"/>
        <w:rPr>
          <w:rFonts w:ascii="宋体" w:hAnsi="宋体" w:cs="宋体"/>
        </w:rPr>
      </w:pPr>
    </w:p>
    <w:p>
      <w:pPr>
        <w:tabs>
          <w:tab w:val="left" w:pos="8782"/>
        </w:tabs>
        <w:snapToGrid w:val="0"/>
        <w:spacing w:before="120" w:line="360" w:lineRule="auto"/>
        <w:ind w:left="503" w:leftChars="50" w:right="-38" w:hanging="398" w:hangingChars="166"/>
        <w:rPr>
          <w:rFonts w:ascii="宋体" w:hAnsi="宋体" w:cs="宋体"/>
          <w:sz w:val="24"/>
          <w:szCs w:val="24"/>
        </w:rPr>
      </w:pPr>
      <w:r>
        <w:rPr>
          <w:rFonts w:hint="eastAsia" w:ascii="宋体" w:hAnsi="宋体" w:cs="宋体"/>
          <w:sz w:val="24"/>
          <w:szCs w:val="24"/>
        </w:rPr>
        <w:t>注：1.供应商应如实列出以上情况，如有隐瞒，一经查实将导致其报价申请被拒绝。</w:t>
      </w:r>
    </w:p>
    <w:p>
      <w:pPr>
        <w:snapToGrid w:val="0"/>
        <w:spacing w:before="120" w:line="360" w:lineRule="auto"/>
        <w:ind w:left="418" w:leftChars="199" w:right="19" w:firstLine="120" w:firstLineChars="50"/>
        <w:rPr>
          <w:rFonts w:ascii="宋体" w:hAnsi="宋体" w:cs="宋体"/>
          <w:sz w:val="24"/>
          <w:szCs w:val="24"/>
        </w:rPr>
      </w:pPr>
      <w:r>
        <w:rPr>
          <w:rFonts w:hint="eastAsia" w:ascii="宋体" w:hAnsi="宋体" w:cs="宋体"/>
          <w:sz w:val="24"/>
          <w:szCs w:val="24"/>
        </w:rPr>
        <w:t>2.证明材料复印件加盖公章附在本表后。</w:t>
      </w:r>
    </w:p>
    <w:p>
      <w:pPr>
        <w:spacing w:line="360" w:lineRule="auto"/>
        <w:ind w:left="400"/>
        <w:rPr>
          <w:rFonts w:ascii="宋体" w:hAnsi="宋体" w:cs="宋体"/>
        </w:rPr>
      </w:pPr>
    </w:p>
    <w:p>
      <w:pPr>
        <w:spacing w:line="360" w:lineRule="auto"/>
        <w:ind w:left="400"/>
        <w:rPr>
          <w:rFonts w:ascii="宋体" w:hAnsi="宋体" w:cs="宋体"/>
        </w:rPr>
      </w:pPr>
    </w:p>
    <w:p>
      <w:pPr>
        <w:spacing w:line="360" w:lineRule="auto"/>
        <w:ind w:right="-161" w:firstLine="2310" w:firstLineChars="1100"/>
        <w:rPr>
          <w:rFonts w:ascii="宋体" w:hAnsi="宋体" w:cs="宋体"/>
          <w:sz w:val="24"/>
          <w:szCs w:val="24"/>
          <w:u w:val="single"/>
        </w:rPr>
      </w:pPr>
      <w:r>
        <w:rPr>
          <w:rFonts w:hint="eastAsia" w:ascii="宋体" w:hAnsi="宋体" w:cs="宋体"/>
        </w:rPr>
        <w:t xml:space="preserve">   </w:t>
      </w: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bookmarkEnd w:id="432"/>
    <w:bookmarkEnd w:id="433"/>
    <w:bookmarkEnd w:id="434"/>
    <w:bookmarkEnd w:id="435"/>
    <w:bookmarkEnd w:id="436"/>
    <w:p>
      <w:pPr>
        <w:pStyle w:val="26"/>
        <w:spacing w:line="360" w:lineRule="auto"/>
        <w:rPr>
          <w:rFonts w:ascii="宋体" w:hAnsi="宋体" w:cs="宋体"/>
          <w:sz w:val="24"/>
          <w:u w:val="single"/>
        </w:rPr>
      </w:pPr>
      <w:bookmarkStart w:id="437" w:name="_Toc29587"/>
    </w:p>
    <w:bookmarkEnd w:id="406"/>
    <w:bookmarkEnd w:id="407"/>
    <w:bookmarkEnd w:id="408"/>
    <w:bookmarkEnd w:id="409"/>
    <w:bookmarkEnd w:id="410"/>
    <w:bookmarkEnd w:id="411"/>
    <w:bookmarkEnd w:id="412"/>
    <w:bookmarkEnd w:id="413"/>
    <w:bookmarkEnd w:id="437"/>
    <w:p>
      <w:pPr>
        <w:pStyle w:val="4"/>
        <w:adjustRightInd w:val="0"/>
        <w:spacing w:line="360" w:lineRule="auto"/>
        <w:textAlignment w:val="baseline"/>
        <w:rPr>
          <w:rFonts w:ascii="宋体" w:hAnsi="宋体" w:eastAsia="宋体" w:cs="宋体"/>
        </w:rPr>
      </w:pPr>
      <w:bookmarkStart w:id="438" w:name="_Toc22894"/>
      <w:bookmarkStart w:id="439" w:name="_Toc28024"/>
      <w:bookmarkStart w:id="440" w:name="_Toc14418"/>
      <w:bookmarkStart w:id="441" w:name="_Toc14534"/>
      <w:bookmarkStart w:id="442" w:name="_Toc7877"/>
      <w:bookmarkStart w:id="443" w:name="_Toc20190"/>
      <w:bookmarkStart w:id="444" w:name="_Toc23271"/>
      <w:bookmarkStart w:id="445" w:name="_Toc6899"/>
      <w:bookmarkStart w:id="446" w:name="_Toc14670"/>
      <w:bookmarkStart w:id="447" w:name="_Toc13300"/>
      <w:bookmarkStart w:id="448" w:name="_Toc475111678"/>
      <w:r>
        <w:rPr>
          <w:rFonts w:hint="eastAsia" w:ascii="宋体" w:hAnsi="宋体" w:eastAsia="宋体" w:cs="宋体"/>
        </w:rPr>
        <w:t>服务承诺书</w:t>
      </w:r>
      <w:bookmarkEnd w:id="438"/>
      <w:bookmarkEnd w:id="439"/>
      <w:bookmarkEnd w:id="440"/>
      <w:bookmarkEnd w:id="441"/>
      <w:bookmarkEnd w:id="442"/>
      <w:bookmarkEnd w:id="443"/>
      <w:bookmarkEnd w:id="444"/>
      <w:bookmarkEnd w:id="445"/>
    </w:p>
    <w:p>
      <w:pPr>
        <w:spacing w:line="360" w:lineRule="auto"/>
        <w:rPr>
          <w:rFonts w:ascii="宋体" w:hAnsi="宋体" w:cs="宋体"/>
        </w:rPr>
      </w:pPr>
    </w:p>
    <w:p>
      <w:pPr>
        <w:spacing w:line="360" w:lineRule="auto"/>
        <w:rPr>
          <w:rFonts w:ascii="宋体" w:hAnsi="宋体" w:cs="宋体"/>
          <w:sz w:val="24"/>
        </w:rPr>
      </w:pPr>
      <w:bookmarkStart w:id="449" w:name="_Toc86547256"/>
      <w:bookmarkStart w:id="450" w:name="_Toc86117412"/>
      <w:r>
        <w:rPr>
          <w:rFonts w:hint="eastAsia" w:ascii="宋体" w:hAnsi="宋体" w:cs="宋体"/>
          <w:sz w:val="24"/>
        </w:rPr>
        <w:t>致：</w:t>
      </w:r>
      <w:bookmarkEnd w:id="449"/>
      <w:bookmarkEnd w:id="450"/>
      <w:r>
        <w:rPr>
          <w:rFonts w:hint="eastAsia" w:ascii="宋体" w:hAnsi="宋体" w:cs="宋体"/>
          <w:sz w:val="24"/>
          <w:u w:val="single"/>
        </w:rPr>
        <w:t>陕西师范大学附属中学</w:t>
      </w:r>
    </w:p>
    <w:p>
      <w:pPr>
        <w:spacing w:line="360" w:lineRule="auto"/>
        <w:rPr>
          <w:rFonts w:ascii="宋体" w:hAnsi="宋体" w:cs="宋体"/>
          <w:u w:val="single"/>
        </w:rPr>
      </w:pPr>
    </w:p>
    <w:p>
      <w:pPr>
        <w:spacing w:line="360" w:lineRule="auto"/>
        <w:rPr>
          <w:rFonts w:ascii="宋体" w:hAnsi="宋体" w:cs="宋体"/>
        </w:rPr>
      </w:pPr>
    </w:p>
    <w:p>
      <w:pPr>
        <w:spacing w:line="360" w:lineRule="auto"/>
        <w:ind w:firstLine="480" w:firstLineChars="200"/>
        <w:rPr>
          <w:rFonts w:ascii="宋体" w:hAnsi="宋体" w:cs="宋体"/>
          <w:sz w:val="24"/>
        </w:rPr>
      </w:pPr>
      <w:bookmarkStart w:id="451" w:name="_Toc86547257"/>
      <w:bookmarkStart w:id="452" w:name="_Toc86117413"/>
      <w:r>
        <w:rPr>
          <w:rFonts w:hint="eastAsia" w:ascii="宋体" w:hAnsi="宋体" w:cs="宋体"/>
          <w:sz w:val="24"/>
        </w:rPr>
        <w:t>我公司对参加此次采购项目编号为</w:t>
      </w:r>
      <w:r>
        <w:rPr>
          <w:rFonts w:hint="eastAsia" w:ascii="宋体" w:hAnsi="宋体" w:cs="宋体"/>
          <w:sz w:val="24"/>
          <w:u w:val="single"/>
        </w:rPr>
        <w:t xml:space="preserve">     </w:t>
      </w:r>
      <w:r>
        <w:rPr>
          <w:rFonts w:hint="eastAsia" w:ascii="宋体" w:hAnsi="宋体" w:cs="宋体"/>
          <w:sz w:val="24"/>
        </w:rPr>
        <w:t>的“陕西师范大学附属中学电动车充电桩安装及维保服务”所提供的服务做如下承诺：</w:t>
      </w:r>
      <w:bookmarkEnd w:id="451"/>
      <w:bookmarkEnd w:id="452"/>
    </w:p>
    <w:p>
      <w:pPr>
        <w:spacing w:line="360" w:lineRule="auto"/>
        <w:rPr>
          <w:rFonts w:ascii="宋体" w:hAnsi="宋体" w:cs="宋体"/>
        </w:rPr>
      </w:pPr>
      <w:bookmarkStart w:id="453" w:name="_Toc86547258"/>
      <w:bookmarkStart w:id="454" w:name="_Toc86117414"/>
      <w:r>
        <w:rPr>
          <w:rFonts w:hint="eastAsia" w:ascii="宋体" w:hAnsi="宋体" w:cs="宋体"/>
          <w:sz w:val="24"/>
        </w:rPr>
        <w:t>（承诺内容）</w:t>
      </w:r>
      <w:bookmarkEnd w:id="453"/>
      <w:bookmarkEnd w:id="454"/>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spacing w:line="360" w:lineRule="auto"/>
        <w:rPr>
          <w:rFonts w:ascii="宋体" w:hAnsi="宋体" w:cs="宋体"/>
        </w:rPr>
      </w:pPr>
    </w:p>
    <w:p>
      <w:pPr>
        <w:pStyle w:val="2"/>
        <w:rPr>
          <w:rFonts w:ascii="宋体" w:hAnsi="宋体" w:cs="宋体"/>
        </w:rPr>
      </w:pPr>
    </w:p>
    <w:p>
      <w:pPr>
        <w:rPr>
          <w:rFonts w:ascii="宋体" w:hAnsi="宋体" w:cs="宋体"/>
        </w:rPr>
      </w:pPr>
    </w:p>
    <w:p>
      <w:pPr>
        <w:pStyle w:val="2"/>
        <w:rPr>
          <w:rFonts w:ascii="宋体" w:hAnsi="宋体" w:cs="宋体"/>
        </w:rPr>
      </w:pPr>
    </w:p>
    <w:p/>
    <w:p>
      <w:pPr>
        <w:spacing w:line="360" w:lineRule="auto"/>
        <w:rPr>
          <w:rFonts w:ascii="宋体" w:hAnsi="宋体" w:cs="宋体"/>
        </w:rPr>
      </w:pPr>
    </w:p>
    <w:p>
      <w:pPr>
        <w:spacing w:line="360" w:lineRule="auto"/>
        <w:rPr>
          <w:rFonts w:ascii="宋体" w:hAnsi="宋体" w:cs="宋体"/>
        </w:rPr>
      </w:pPr>
    </w:p>
    <w:p>
      <w:pPr>
        <w:spacing w:line="360" w:lineRule="auto"/>
        <w:ind w:right="-161" w:firstLine="2640" w:firstLineChars="1100"/>
        <w:rPr>
          <w:rFonts w:ascii="宋体" w:hAnsi="宋体" w:cs="宋体"/>
          <w:sz w:val="24"/>
          <w:szCs w:val="24"/>
          <w:u w:val="single"/>
        </w:rPr>
      </w:pPr>
      <w:r>
        <w:rPr>
          <w:rFonts w:hint="eastAsia" w:ascii="宋体" w:hAnsi="宋体" w:cs="宋体"/>
          <w:sz w:val="24"/>
          <w:szCs w:val="24"/>
        </w:rPr>
        <w:t>法定代表人或被授权代表签字或盖章：</w:t>
      </w:r>
      <w:r>
        <w:rPr>
          <w:rFonts w:hint="eastAsia" w:ascii="宋体" w:hAnsi="宋体" w:cs="宋体"/>
          <w:sz w:val="24"/>
          <w:szCs w:val="24"/>
          <w:u w:val="single"/>
        </w:rPr>
        <w:t xml:space="preserve">                 </w:t>
      </w:r>
    </w:p>
    <w:p>
      <w:pPr>
        <w:spacing w:line="360" w:lineRule="auto"/>
        <w:ind w:right="-161" w:firstLine="2640" w:firstLineChars="11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u w:val="single"/>
        </w:rPr>
        <w:t>（公章）</w:t>
      </w:r>
    </w:p>
    <w:p>
      <w:pPr>
        <w:spacing w:line="360" w:lineRule="auto"/>
        <w:ind w:firstLine="2640" w:firstLineChars="1100"/>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p>
      <w:pPr>
        <w:pStyle w:val="26"/>
        <w:spacing w:line="360" w:lineRule="auto"/>
        <w:rPr>
          <w:rFonts w:ascii="宋体" w:hAnsi="宋体" w:cs="宋体"/>
          <w:sz w:val="24"/>
          <w:u w:val="single"/>
        </w:rPr>
      </w:pPr>
    </w:p>
    <w:bookmarkEnd w:id="446"/>
    <w:bookmarkEnd w:id="447"/>
    <w:bookmarkEnd w:id="448"/>
    <w:p>
      <w:pPr>
        <w:pStyle w:val="4"/>
        <w:spacing w:line="360" w:lineRule="auto"/>
        <w:rPr>
          <w:rFonts w:ascii="宋体" w:hAnsi="宋体" w:eastAsia="宋体" w:cs="宋体"/>
          <w:bCs/>
          <w:szCs w:val="22"/>
        </w:rPr>
      </w:pPr>
      <w:bookmarkStart w:id="455" w:name="_Toc21754"/>
      <w:bookmarkStart w:id="456" w:name="_Toc30144"/>
      <w:bookmarkStart w:id="457" w:name="_Toc30526"/>
      <w:bookmarkStart w:id="458" w:name="_Toc14466"/>
      <w:bookmarkStart w:id="459" w:name="_Toc14500"/>
      <w:bookmarkStart w:id="460" w:name="_Toc5400"/>
      <w:bookmarkStart w:id="461" w:name="_Toc14865"/>
      <w:bookmarkStart w:id="462" w:name="_Toc528782623"/>
      <w:bookmarkStart w:id="463" w:name="_Toc319"/>
      <w:r>
        <w:rPr>
          <w:rFonts w:hint="eastAsia" w:ascii="宋体" w:hAnsi="宋体" w:eastAsia="宋体" w:cs="宋体"/>
          <w:bCs/>
          <w:szCs w:val="22"/>
        </w:rPr>
        <w:t>供应商为本项目提供的资格证明文件及其他</w:t>
      </w:r>
      <w:bookmarkEnd w:id="455"/>
      <w:bookmarkEnd w:id="456"/>
      <w:bookmarkEnd w:id="457"/>
      <w:bookmarkEnd w:id="458"/>
      <w:bookmarkEnd w:id="459"/>
      <w:bookmarkEnd w:id="460"/>
      <w:bookmarkEnd w:id="461"/>
      <w:bookmarkEnd w:id="462"/>
      <w:bookmarkEnd w:id="463"/>
    </w:p>
    <w:p>
      <w:pPr>
        <w:pStyle w:val="17"/>
        <w:spacing w:line="360" w:lineRule="auto"/>
        <w:rPr>
          <w:rFonts w:ascii="宋体" w:hAnsi="宋体" w:cs="宋体"/>
        </w:rPr>
      </w:pPr>
    </w:p>
    <w:p>
      <w:pPr>
        <w:numPr>
          <w:ilvl w:val="0"/>
          <w:numId w:val="9"/>
        </w:numPr>
        <w:spacing w:line="360" w:lineRule="auto"/>
        <w:rPr>
          <w:rFonts w:ascii="宋体" w:hAnsi="宋体" w:cs="宋体"/>
          <w:bCs/>
          <w:sz w:val="24"/>
        </w:rPr>
      </w:pPr>
      <w:r>
        <w:rPr>
          <w:rFonts w:hint="eastAsia" w:ascii="宋体" w:hAnsi="宋体" w:cs="宋体"/>
          <w:bCs/>
          <w:sz w:val="24"/>
        </w:rPr>
        <w:t>资格证明：</w:t>
      </w:r>
    </w:p>
    <w:p>
      <w:pPr>
        <w:spacing w:line="360" w:lineRule="auto"/>
        <w:rPr>
          <w:rFonts w:ascii="宋体" w:hAnsi="宋体" w:cs="宋体"/>
          <w:bCs/>
          <w:sz w:val="24"/>
        </w:rPr>
      </w:pPr>
      <w:r>
        <w:rPr>
          <w:rFonts w:hint="eastAsia" w:ascii="宋体" w:hAnsi="宋体" w:cs="宋体"/>
          <w:bCs/>
          <w:sz w:val="24"/>
        </w:rPr>
        <w:t>①满足《中华人民共和国政府采购法》第二十二条规定</w:t>
      </w:r>
    </w:p>
    <w:p>
      <w:pPr>
        <w:spacing w:line="360" w:lineRule="auto"/>
        <w:rPr>
          <w:rFonts w:ascii="宋体" w:hAnsi="宋体" w:cs="宋体"/>
          <w:bCs/>
          <w:sz w:val="24"/>
        </w:rPr>
      </w:pPr>
      <w:r>
        <w:rPr>
          <w:rFonts w:hint="eastAsia" w:ascii="宋体" w:hAnsi="宋体" w:cs="宋体"/>
          <w:bCs/>
          <w:sz w:val="24"/>
        </w:rPr>
        <w:t xml:space="preserve">1.1具有独立承担民事责任的能力。 </w:t>
      </w:r>
    </w:p>
    <w:p>
      <w:pPr>
        <w:spacing w:line="360" w:lineRule="auto"/>
        <w:rPr>
          <w:rFonts w:ascii="宋体" w:hAnsi="宋体" w:cs="宋体"/>
          <w:bCs/>
          <w:sz w:val="24"/>
        </w:rPr>
      </w:pPr>
      <w:r>
        <w:rPr>
          <w:rFonts w:hint="eastAsia" w:ascii="宋体" w:hAnsi="宋体" w:cs="宋体"/>
          <w:bCs/>
          <w:sz w:val="24"/>
        </w:rPr>
        <w:t xml:space="preserve">1.2具有良好的商业信誉和健全的财务会计制度。 </w:t>
      </w:r>
    </w:p>
    <w:p>
      <w:pPr>
        <w:spacing w:line="360" w:lineRule="auto"/>
        <w:rPr>
          <w:rFonts w:ascii="宋体" w:hAnsi="宋体" w:cs="宋体"/>
          <w:bCs/>
          <w:sz w:val="24"/>
        </w:rPr>
      </w:pPr>
      <w:r>
        <w:rPr>
          <w:rFonts w:hint="eastAsia" w:ascii="宋体" w:hAnsi="宋体" w:cs="宋体"/>
          <w:bCs/>
          <w:sz w:val="24"/>
        </w:rPr>
        <w:t xml:space="preserve">1.3具有履行合同所必需的设备和专业技术能力。 </w:t>
      </w:r>
    </w:p>
    <w:p>
      <w:pPr>
        <w:spacing w:line="360" w:lineRule="auto"/>
        <w:rPr>
          <w:rFonts w:ascii="宋体" w:hAnsi="宋体" w:cs="宋体"/>
          <w:bCs/>
          <w:sz w:val="24"/>
        </w:rPr>
      </w:pPr>
      <w:r>
        <w:rPr>
          <w:rFonts w:hint="eastAsia" w:ascii="宋体" w:hAnsi="宋体" w:cs="宋体"/>
          <w:bCs/>
          <w:sz w:val="24"/>
        </w:rPr>
        <w:t xml:space="preserve">1.4有依法缴纳税收和社会保障资金的良好记录。 </w:t>
      </w:r>
    </w:p>
    <w:p>
      <w:pPr>
        <w:spacing w:line="360" w:lineRule="auto"/>
        <w:rPr>
          <w:rFonts w:ascii="宋体" w:hAnsi="宋体" w:cs="宋体"/>
          <w:kern w:val="0"/>
          <w:sz w:val="24"/>
          <w:szCs w:val="24"/>
          <w:lang w:bidi="ar"/>
        </w:rPr>
      </w:pPr>
      <w:r>
        <w:rPr>
          <w:rFonts w:hint="eastAsia" w:ascii="宋体" w:hAnsi="宋体" w:cs="宋体"/>
          <w:bCs/>
          <w:sz w:val="24"/>
        </w:rPr>
        <w:t>1.5参加政府采购活动前三年内，在经营活动中没有重大违法记录。</w:t>
      </w:r>
    </w:p>
    <w:p>
      <w:pPr>
        <w:pStyle w:val="26"/>
        <w:spacing w:line="360" w:lineRule="auto"/>
        <w:rPr>
          <w:rFonts w:ascii="宋体" w:hAnsi="宋体" w:cs="宋体"/>
          <w:bCs/>
          <w:sz w:val="24"/>
        </w:rPr>
      </w:pPr>
      <w:r>
        <w:rPr>
          <w:rFonts w:hint="eastAsia" w:ascii="宋体" w:hAnsi="宋体" w:cs="宋体"/>
          <w:bCs/>
          <w:sz w:val="24"/>
        </w:rPr>
        <w:t>2、本项目不接受联合体投标，无需提供声明。</w:t>
      </w:r>
    </w:p>
    <w:p>
      <w:pPr>
        <w:spacing w:line="360" w:lineRule="auto"/>
        <w:rPr>
          <w:rFonts w:ascii="宋体" w:hAnsi="宋体" w:cs="宋体"/>
          <w:bCs/>
          <w:sz w:val="24"/>
        </w:rPr>
      </w:pPr>
      <w:r>
        <w:rPr>
          <w:rFonts w:hint="eastAsia" w:ascii="宋体" w:hAnsi="宋体" w:cs="宋体"/>
          <w:bCs/>
          <w:sz w:val="24"/>
        </w:rPr>
        <w:t>3、中小企业声明函（供应商提供的货物不是中小企业制造的无需提供此声明）</w:t>
      </w: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rFonts w:ascii="宋体" w:hAnsi="宋体" w:cs="宋体"/>
          <w:bCs/>
          <w:sz w:val="24"/>
        </w:rPr>
      </w:pPr>
    </w:p>
    <w:p>
      <w:pPr>
        <w:pStyle w:val="17"/>
        <w:rPr>
          <w:rFonts w:ascii="宋体" w:hAnsi="宋体" w:cs="宋体"/>
          <w:bCs/>
          <w:sz w:val="24"/>
        </w:rPr>
      </w:pPr>
    </w:p>
    <w:p>
      <w:pPr>
        <w:rPr>
          <w:szCs w:val="24"/>
        </w:rPr>
      </w:pPr>
    </w:p>
    <w:p>
      <w:pPr>
        <w:pStyle w:val="17"/>
      </w:pPr>
    </w:p>
    <w:p/>
    <w:p>
      <w:pPr>
        <w:rPr>
          <w:rFonts w:ascii="宋体" w:hAnsi="宋体" w:cs="宋体"/>
          <w:bCs/>
          <w:sz w:val="24"/>
        </w:rPr>
      </w:pPr>
    </w:p>
    <w:p>
      <w:pPr>
        <w:pStyle w:val="17"/>
        <w:rPr>
          <w:rFonts w:ascii="宋体" w:hAnsi="宋体" w:cs="宋体"/>
          <w:bCs/>
          <w:sz w:val="24"/>
        </w:rPr>
      </w:pPr>
    </w:p>
    <w:p/>
    <w:p>
      <w:pPr>
        <w:spacing w:line="360" w:lineRule="auto"/>
        <w:rPr>
          <w:rFonts w:ascii="宋体" w:hAnsi="宋体" w:cs="宋体"/>
          <w:sz w:val="24"/>
        </w:rPr>
      </w:pPr>
      <w:r>
        <w:rPr>
          <w:rFonts w:hint="eastAsia" w:ascii="宋体" w:hAnsi="宋体" w:cs="宋体"/>
          <w:b/>
          <w:bCs/>
          <w:sz w:val="24"/>
        </w:rPr>
        <w:t>附件 具有独立承担民事责任的能力</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提供：</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如供应商是企业（包括合伙企业），应提供在工商部门注册的有效“企业法人营业执照”或“营业执照”；</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如供应商是事业单位，应提供有效的“事业单位法人证书”；</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如供应商是为企业专业服务机构的，应提供执业许可证等证明文件；</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如供应商是个体工商户，应提供有效的“个体工商户营业执照”；</w:t>
      </w:r>
    </w:p>
    <w:p>
      <w:pPr>
        <w:pStyle w:val="21"/>
        <w:numPr>
          <w:ilvl w:val="0"/>
          <w:numId w:val="10"/>
        </w:numPr>
        <w:tabs>
          <w:tab w:val="left" w:pos="5580"/>
        </w:tabs>
        <w:spacing w:before="120" w:line="360" w:lineRule="auto"/>
        <w:ind w:left="833" w:leftChars="168" w:hanging="480" w:hangingChars="200"/>
        <w:rPr>
          <w:rFonts w:hAnsi="宋体" w:cs="宋体"/>
          <w:szCs w:val="24"/>
        </w:rPr>
      </w:pPr>
      <w:r>
        <w:rPr>
          <w:rFonts w:hint="eastAsia" w:hAnsi="宋体" w:cs="宋体"/>
          <w:szCs w:val="24"/>
        </w:rPr>
        <w:t>如供应商为自然人，应提供有效的自然人身份证明。</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rPr>
          <w:rFonts w:ascii="宋体" w:hAnsi="宋体" w:cs="宋体"/>
        </w:rPr>
      </w:pPr>
    </w:p>
    <w:p>
      <w:pPr>
        <w:pStyle w:val="50"/>
        <w:spacing w:before="120" w:after="120"/>
      </w:pPr>
    </w:p>
    <w:p>
      <w:pPr>
        <w:pStyle w:val="17"/>
      </w:pPr>
    </w:p>
    <w:p>
      <w:pPr>
        <w:spacing w:line="360" w:lineRule="auto"/>
        <w:outlineLvl w:val="0"/>
        <w:rPr>
          <w:rFonts w:ascii="宋体" w:hAnsi="宋体" w:cs="宋体"/>
          <w:sz w:val="24"/>
        </w:rPr>
      </w:pPr>
      <w:bookmarkStart w:id="464" w:name="_Toc12895"/>
      <w:bookmarkStart w:id="465" w:name="_Toc24657"/>
      <w:bookmarkStart w:id="466" w:name="_Toc14982"/>
      <w:bookmarkStart w:id="467" w:name="_Toc11646"/>
      <w:bookmarkStart w:id="468" w:name="_Toc24599"/>
      <w:r>
        <w:rPr>
          <w:rFonts w:hint="eastAsia" w:ascii="宋体" w:hAnsi="宋体" w:cs="宋体"/>
          <w:b/>
          <w:bCs/>
          <w:sz w:val="24"/>
        </w:rPr>
        <w:t>附件 法定代表人授权委托书</w:t>
      </w:r>
      <w:bookmarkEnd w:id="464"/>
      <w:bookmarkEnd w:id="465"/>
      <w:bookmarkEnd w:id="466"/>
      <w:bookmarkEnd w:id="467"/>
      <w:bookmarkEnd w:id="468"/>
    </w:p>
    <w:p>
      <w:pPr>
        <w:spacing w:line="360" w:lineRule="auto"/>
        <w:rPr>
          <w:rFonts w:ascii="宋体" w:hAnsi="宋体" w:cs="宋体"/>
          <w:sz w:val="24"/>
        </w:rPr>
      </w:pPr>
    </w:p>
    <w:p>
      <w:pPr>
        <w:tabs>
          <w:tab w:val="left" w:pos="8820"/>
        </w:tabs>
        <w:spacing w:line="360" w:lineRule="auto"/>
        <w:ind w:firstLine="570"/>
        <w:rPr>
          <w:rFonts w:ascii="宋体" w:hAnsi="宋体" w:cs="宋体"/>
          <w:sz w:val="24"/>
        </w:rPr>
      </w:pPr>
      <w:r>
        <w:rPr>
          <w:rFonts w:hint="eastAsia" w:ascii="宋体" w:hAnsi="宋体" w:cs="宋体"/>
          <w:sz w:val="24"/>
        </w:rPr>
        <w:t>本授权委托书声明：我</w:t>
      </w:r>
      <w:r>
        <w:rPr>
          <w:rFonts w:hint="eastAsia" w:ascii="宋体" w:hAnsi="宋体" w:cs="宋体"/>
          <w:sz w:val="24"/>
          <w:u w:val="single"/>
        </w:rPr>
        <w:t>（法定代表人姓名）</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（供应商名称）</w:t>
      </w:r>
      <w:r>
        <w:rPr>
          <w:rFonts w:hint="eastAsia" w:ascii="宋体" w:hAnsi="宋体" w:cs="宋体"/>
          <w:sz w:val="24"/>
        </w:rPr>
        <w:t>的法定代表人，现代表公司授权下面签字的</w:t>
      </w:r>
      <w:r>
        <w:rPr>
          <w:rFonts w:hint="eastAsia" w:ascii="宋体" w:hAnsi="宋体" w:cs="宋体"/>
          <w:sz w:val="24"/>
          <w:u w:val="single"/>
        </w:rPr>
        <w:t>（被授权人的姓名、职务）</w:t>
      </w:r>
      <w:r>
        <w:rPr>
          <w:rFonts w:hint="eastAsia" w:ascii="宋体" w:hAnsi="宋体" w:cs="宋体"/>
          <w:sz w:val="24"/>
        </w:rPr>
        <w:t>为我公司合法代理人，代表本公司参加</w:t>
      </w:r>
      <w:r>
        <w:rPr>
          <w:rFonts w:hint="eastAsia" w:ascii="宋体" w:hAnsi="宋体" w:cs="宋体"/>
          <w:sz w:val="24"/>
          <w:u w:val="single"/>
        </w:rPr>
        <w:t xml:space="preserve"> （采购项目名称） （采购项目编号）  </w:t>
      </w:r>
      <w:r>
        <w:rPr>
          <w:rFonts w:hint="eastAsia" w:ascii="宋体" w:hAnsi="宋体" w:cs="宋体"/>
          <w:sz w:val="24"/>
        </w:rPr>
        <w:t>的投标活动。代理人在本次磋商中所签署的一切文件和处理的一切有关事物，我公司均予承认。</w:t>
      </w:r>
    </w:p>
    <w:p>
      <w:pPr>
        <w:spacing w:line="360" w:lineRule="auto"/>
        <w:ind w:firstLine="570"/>
        <w:rPr>
          <w:rFonts w:ascii="宋体" w:hAnsi="宋体" w:cs="宋体"/>
          <w:sz w:val="24"/>
        </w:rPr>
      </w:pPr>
      <w:r>
        <w:rPr>
          <w:rFonts w:hint="eastAsia" w:ascii="宋体" w:hAnsi="宋体" w:cs="宋体"/>
          <w:sz w:val="24"/>
        </w:rPr>
        <w:t>本授权有效期：自响应文件开启之日起90日历天；特此声明。</w:t>
      </w:r>
    </w:p>
    <w:p>
      <w:pPr>
        <w:spacing w:line="360" w:lineRule="auto"/>
        <w:rPr>
          <w:rFonts w:ascii="宋体" w:hAnsi="宋体" w:cs="宋体"/>
          <w:sz w:val="24"/>
        </w:rPr>
      </w:pPr>
      <w:r>
        <w:rPr>
          <w:rFonts w:hint="eastAsia" w:ascii="宋体" w:hAnsi="宋体" w:cs="宋体"/>
          <w:sz w:val="24"/>
        </w:rPr>
        <w:t>（二代身份证需复印正面及反面）</w:t>
      </w:r>
    </w:p>
    <w:tbl>
      <w:tblPr>
        <w:tblStyle w:val="4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1"/>
        <w:gridCol w:w="4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3801" w:type="dxa"/>
          </w:tcPr>
          <w:p>
            <w:pPr>
              <w:spacing w:line="360" w:lineRule="auto"/>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法定代表人身份证复印件</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tc>
        <w:tc>
          <w:tcPr>
            <w:tcW w:w="4245" w:type="dxa"/>
          </w:tcPr>
          <w:p>
            <w:pPr>
              <w:spacing w:line="360" w:lineRule="auto"/>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授权代表身份证复印件</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tc>
      </w:tr>
    </w:tbl>
    <w:p>
      <w:pPr>
        <w:spacing w:line="360" w:lineRule="auto"/>
        <w:rPr>
          <w:rFonts w:ascii="宋体" w:hAnsi="宋体" w:cs="宋体"/>
          <w:sz w:val="24"/>
        </w:rPr>
      </w:pPr>
    </w:p>
    <w:p>
      <w:pPr>
        <w:spacing w:line="360" w:lineRule="auto"/>
        <w:jc w:val="right"/>
        <w:rPr>
          <w:rFonts w:ascii="宋体" w:hAnsi="宋体" w:cs="宋体"/>
          <w:sz w:val="24"/>
        </w:rPr>
      </w:pPr>
      <w:r>
        <w:rPr>
          <w:rFonts w:hint="eastAsia" w:ascii="宋体" w:hAnsi="宋体" w:cs="宋体"/>
          <w:sz w:val="24"/>
        </w:rPr>
        <w:t xml:space="preserve">    </w:t>
      </w:r>
    </w:p>
    <w:p>
      <w:pPr>
        <w:spacing w:line="360" w:lineRule="auto"/>
        <w:jc w:val="right"/>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（公章）</w:t>
      </w:r>
    </w:p>
    <w:p>
      <w:pPr>
        <w:spacing w:line="360" w:lineRule="auto"/>
        <w:jc w:val="right"/>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（签字或盖章）</w:t>
      </w:r>
    </w:p>
    <w:p>
      <w:pPr>
        <w:spacing w:line="360" w:lineRule="auto"/>
        <w:jc w:val="right"/>
        <w:rPr>
          <w:rFonts w:ascii="宋体" w:hAnsi="宋体" w:cs="宋体"/>
          <w:sz w:val="24"/>
        </w:rPr>
      </w:pPr>
      <w:r>
        <w:rPr>
          <w:rFonts w:hint="eastAsia" w:ascii="宋体" w:hAnsi="宋体" w:cs="宋体"/>
          <w:sz w:val="24"/>
        </w:rPr>
        <w:t>授权代理人（被授权人）：</w:t>
      </w:r>
      <w:r>
        <w:rPr>
          <w:rFonts w:hint="eastAsia" w:ascii="宋体" w:hAnsi="宋体" w:cs="宋体"/>
          <w:sz w:val="24"/>
          <w:u w:val="single"/>
        </w:rPr>
        <w:t xml:space="preserve">      （签字或盖章）</w:t>
      </w:r>
    </w:p>
    <w:p>
      <w:pPr>
        <w:spacing w:line="360" w:lineRule="auto"/>
        <w:jc w:val="center"/>
        <w:rPr>
          <w:rFonts w:ascii="宋体" w:hAnsi="宋体" w:cs="宋体"/>
          <w:sz w:val="24"/>
          <w:u w:val="single"/>
        </w:rPr>
      </w:pPr>
      <w:r>
        <w:rPr>
          <w:rFonts w:hint="eastAsia" w:ascii="宋体" w:hAnsi="宋体" w:cs="宋体"/>
          <w:sz w:val="24"/>
        </w:rPr>
        <w:t xml:space="preserve">                日期：</w:t>
      </w:r>
      <w:r>
        <w:rPr>
          <w:rFonts w:hint="eastAsia" w:ascii="宋体" w:hAnsi="宋体" w:cs="宋体"/>
          <w:sz w:val="24"/>
          <w:u w:val="single"/>
        </w:rPr>
        <w:t xml:space="preserve">      年     月     日</w:t>
      </w:r>
    </w:p>
    <w:p>
      <w:pPr>
        <w:pStyle w:val="26"/>
        <w:rPr>
          <w:rFonts w:ascii="宋体" w:hAnsi="宋体" w:cs="宋体"/>
          <w:sz w:val="24"/>
          <w:u w:val="single"/>
        </w:rPr>
      </w:pPr>
    </w:p>
    <w:p>
      <w:pPr>
        <w:pStyle w:val="26"/>
        <w:rPr>
          <w:rFonts w:ascii="宋体" w:hAnsi="宋体" w:cs="宋体"/>
          <w:sz w:val="24"/>
          <w:u w:val="single"/>
        </w:rPr>
      </w:pPr>
    </w:p>
    <w:p>
      <w:pPr>
        <w:pStyle w:val="26"/>
        <w:rPr>
          <w:rFonts w:ascii="宋体" w:hAnsi="宋体" w:cs="宋体"/>
          <w:sz w:val="24"/>
          <w:u w:val="single"/>
        </w:rPr>
      </w:pPr>
    </w:p>
    <w:p>
      <w:pPr>
        <w:pStyle w:val="26"/>
        <w:rPr>
          <w:rFonts w:ascii="宋体" w:hAnsi="宋体" w:cs="宋体"/>
          <w:sz w:val="24"/>
          <w:u w:val="single"/>
        </w:rPr>
      </w:pPr>
    </w:p>
    <w:p>
      <w:pPr>
        <w:spacing w:line="360" w:lineRule="auto"/>
      </w:pPr>
      <w:r>
        <w:rPr>
          <w:rFonts w:hint="eastAsia" w:ascii="宋体" w:hAnsi="宋体" w:cs="宋体"/>
          <w:sz w:val="24"/>
        </w:rPr>
        <w:t>（备注：法定代表人直接参与无需提供此授权书，只需提供与营业执照法人名称一致的身份证复印件并加盖公章；磋商现场提供授权代表身份证原件进行核对）</w:t>
      </w:r>
    </w:p>
    <w:p/>
    <w:p>
      <w:pPr>
        <w:spacing w:line="360" w:lineRule="auto"/>
        <w:rPr>
          <w:rFonts w:ascii="宋体" w:hAnsi="宋体" w:cs="宋体"/>
          <w:b/>
          <w:bCs/>
          <w:sz w:val="24"/>
        </w:rPr>
      </w:pPr>
      <w:r>
        <w:rPr>
          <w:rFonts w:hint="eastAsia" w:ascii="宋体" w:hAnsi="宋体" w:cs="宋体"/>
          <w:b/>
          <w:bCs/>
          <w:sz w:val="24"/>
        </w:rPr>
        <w:t>附件 具有良好的商业信誉和健全的财务会计制度</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提供：</w:t>
      </w:r>
    </w:p>
    <w:p>
      <w:pPr>
        <w:spacing w:line="360" w:lineRule="auto"/>
        <w:rPr>
          <w:rFonts w:ascii="宋体" w:hAnsi="宋体" w:cs="宋体"/>
          <w:sz w:val="24"/>
        </w:rPr>
      </w:pPr>
      <w:r>
        <w:rPr>
          <w:rFonts w:hint="eastAsia" w:ascii="宋体" w:hAnsi="宋体" w:cs="宋体"/>
          <w:sz w:val="24"/>
        </w:rPr>
        <w:t>1、供应商为法人的，提供2021年度或2022年度经审计的财务报告或提供银行出具的磋商截止日期前六个月内的资信证明。</w:t>
      </w:r>
    </w:p>
    <w:p>
      <w:pPr>
        <w:spacing w:line="360" w:lineRule="auto"/>
        <w:rPr>
          <w:rFonts w:ascii="宋体" w:hAnsi="宋体" w:cs="宋体"/>
          <w:sz w:val="24"/>
        </w:rPr>
      </w:pPr>
      <w:r>
        <w:rPr>
          <w:rFonts w:hint="eastAsia" w:ascii="宋体" w:hAnsi="宋体" w:cs="宋体"/>
          <w:sz w:val="24"/>
        </w:rPr>
        <w:t>2、部分其他组织和自然人，没有经审计的财务报告，可以提供银行出具的资信证明。</w:t>
      </w:r>
    </w:p>
    <w:p>
      <w:pPr>
        <w:spacing w:line="360" w:lineRule="auto"/>
        <w:rPr>
          <w:rFonts w:ascii="宋体" w:hAnsi="宋体" w:cs="宋体"/>
          <w:sz w:val="24"/>
        </w:rPr>
      </w:pPr>
      <w:r>
        <w:rPr>
          <w:rFonts w:hint="eastAsia" w:ascii="宋体" w:hAnsi="宋体" w:cs="宋体"/>
          <w:sz w:val="24"/>
        </w:rPr>
        <w:t>3、供应商提供了财政部门认可的政府采购专业担保机构出具的磋商担保函，则不需要提供上述财务状况报告。</w:t>
      </w: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Pr>
        <w:rPr>
          <w:rFonts w:ascii="宋体" w:hAnsi="宋体" w:cs="宋体"/>
          <w:sz w:val="24"/>
        </w:rPr>
      </w:pPr>
    </w:p>
    <w:p>
      <w:pPr>
        <w:pStyle w:val="17"/>
        <w:rPr>
          <w:rFonts w:ascii="宋体" w:hAnsi="宋体" w:cs="宋体"/>
          <w:sz w:val="24"/>
        </w:rPr>
      </w:pPr>
    </w:p>
    <w:p/>
    <w:p>
      <w:pPr>
        <w:rPr>
          <w:szCs w:val="24"/>
        </w:rPr>
      </w:pPr>
    </w:p>
    <w:p>
      <w:pPr>
        <w:spacing w:line="360" w:lineRule="auto"/>
        <w:rPr>
          <w:rFonts w:ascii="宋体" w:hAnsi="宋体" w:cs="宋体"/>
          <w:b/>
          <w:bCs/>
          <w:sz w:val="24"/>
        </w:rPr>
      </w:pPr>
      <w:bookmarkStart w:id="469" w:name="_Toc332805171"/>
      <w:bookmarkStart w:id="470" w:name="_Toc332805616"/>
      <w:r>
        <w:rPr>
          <w:rFonts w:hint="eastAsia" w:ascii="宋体" w:hAnsi="宋体" w:cs="宋体"/>
          <w:b/>
          <w:bCs/>
          <w:sz w:val="24"/>
        </w:rPr>
        <w:t>附件  具有履行合同所必需的设备和专业技术能力（参考格式）</w:t>
      </w:r>
    </w:p>
    <w:p>
      <w:pPr>
        <w:spacing w:line="360" w:lineRule="auto"/>
        <w:rPr>
          <w:rFonts w:ascii="宋体" w:hAnsi="宋体" w:cs="宋体"/>
          <w:b/>
          <w:color w:val="0D0D0D"/>
          <w:spacing w:val="4"/>
          <w:sz w:val="24"/>
        </w:rPr>
      </w:pPr>
    </w:p>
    <w:p>
      <w:pPr>
        <w:spacing w:line="360" w:lineRule="auto"/>
        <w:rPr>
          <w:rFonts w:ascii="宋体" w:hAnsi="宋体" w:cs="宋体"/>
          <w:b/>
          <w:color w:val="0D0D0D"/>
          <w:spacing w:val="4"/>
          <w:sz w:val="24"/>
        </w:rPr>
      </w:pPr>
      <w:r>
        <w:rPr>
          <w:rFonts w:hint="eastAsia" w:ascii="宋体" w:hAnsi="宋体" w:cs="宋体"/>
          <w:b/>
          <w:color w:val="0D0D0D"/>
          <w:spacing w:val="4"/>
          <w:sz w:val="24"/>
        </w:rPr>
        <w:t>提供：</w:t>
      </w:r>
    </w:p>
    <w:p>
      <w:pPr>
        <w:spacing w:line="360" w:lineRule="auto"/>
        <w:rPr>
          <w:rFonts w:ascii="宋体" w:hAnsi="宋体" w:cs="宋体"/>
          <w:color w:val="0D0D0D"/>
          <w:spacing w:val="4"/>
          <w:sz w:val="24"/>
          <w:u w:val="single"/>
        </w:rPr>
      </w:pPr>
      <w:r>
        <w:rPr>
          <w:rFonts w:hint="eastAsia" w:ascii="宋体" w:hAnsi="宋体" w:cs="宋体"/>
          <w:color w:val="0D0D0D"/>
          <w:spacing w:val="4"/>
          <w:sz w:val="24"/>
        </w:rPr>
        <w:t>致：</w:t>
      </w:r>
      <w:r>
        <w:rPr>
          <w:rFonts w:hint="eastAsia" w:ascii="宋体" w:hAnsi="宋体" w:cs="宋体"/>
          <w:color w:val="0D0D0D"/>
          <w:spacing w:val="4"/>
          <w:sz w:val="24"/>
          <w:u w:val="single"/>
        </w:rPr>
        <w:t xml:space="preserve">     （采购人名称）   </w:t>
      </w:r>
      <w:r>
        <w:rPr>
          <w:rFonts w:hint="eastAsia" w:ascii="宋体" w:hAnsi="宋体" w:cs="宋体"/>
          <w:color w:val="0D0D0D"/>
          <w:spacing w:val="4"/>
          <w:sz w:val="24"/>
        </w:rPr>
        <w:t>：</w:t>
      </w:r>
    </w:p>
    <w:p>
      <w:pPr>
        <w:spacing w:before="240" w:beforeLines="100" w:after="120" w:afterLines="50" w:line="360" w:lineRule="auto"/>
        <w:ind w:firstLine="496" w:firstLineChars="200"/>
        <w:rPr>
          <w:rFonts w:ascii="宋体" w:hAnsi="宋体" w:cs="宋体"/>
          <w:color w:val="0D0D0D"/>
          <w:spacing w:val="4"/>
          <w:sz w:val="24"/>
        </w:rPr>
      </w:pPr>
      <w:r>
        <w:rPr>
          <w:rFonts w:hint="eastAsia" w:ascii="宋体" w:hAnsi="宋体" w:cs="宋体"/>
          <w:color w:val="0D0D0D"/>
          <w:spacing w:val="4"/>
          <w:sz w:val="24"/>
          <w:u w:val="single"/>
        </w:rPr>
        <w:t>（公司）</w:t>
      </w:r>
      <w:r>
        <w:rPr>
          <w:rFonts w:hint="eastAsia" w:ascii="宋体" w:hAnsi="宋体" w:cs="宋体"/>
          <w:color w:val="0D0D0D"/>
          <w:spacing w:val="4"/>
          <w:sz w:val="24"/>
        </w:rPr>
        <w:t>于</w:t>
      </w:r>
      <w:r>
        <w:rPr>
          <w:rFonts w:hint="eastAsia" w:ascii="宋体" w:hAnsi="宋体" w:cs="宋体"/>
          <w:color w:val="0D0D0D"/>
          <w:spacing w:val="4"/>
          <w:sz w:val="24"/>
          <w:u w:val="single"/>
        </w:rPr>
        <w:t xml:space="preserve">  </w:t>
      </w:r>
      <w:r>
        <w:rPr>
          <w:rFonts w:hint="eastAsia" w:ascii="宋体" w:hAnsi="宋体" w:cs="宋体"/>
          <w:color w:val="0D0D0D"/>
          <w:spacing w:val="4"/>
          <w:sz w:val="24"/>
        </w:rPr>
        <w:t>年</w:t>
      </w:r>
      <w:r>
        <w:rPr>
          <w:rFonts w:hint="eastAsia" w:ascii="宋体" w:hAnsi="宋体" w:cs="宋体"/>
          <w:color w:val="0D0D0D"/>
          <w:spacing w:val="4"/>
          <w:sz w:val="24"/>
          <w:u w:val="single"/>
        </w:rPr>
        <w:t xml:space="preserve">  </w:t>
      </w:r>
      <w:r>
        <w:rPr>
          <w:rFonts w:hint="eastAsia" w:ascii="宋体" w:hAnsi="宋体" w:cs="宋体"/>
          <w:color w:val="0D0D0D"/>
          <w:spacing w:val="4"/>
          <w:sz w:val="24"/>
        </w:rPr>
        <w:t>月</w:t>
      </w:r>
      <w:r>
        <w:rPr>
          <w:rFonts w:hint="eastAsia" w:ascii="宋体" w:hAnsi="宋体" w:cs="宋体"/>
          <w:color w:val="0D0D0D"/>
          <w:spacing w:val="4"/>
          <w:sz w:val="24"/>
          <w:u w:val="single"/>
        </w:rPr>
        <w:t xml:space="preserve">  </w:t>
      </w:r>
      <w:r>
        <w:rPr>
          <w:rFonts w:hint="eastAsia" w:ascii="宋体" w:hAnsi="宋体" w:cs="宋体"/>
          <w:color w:val="0D0D0D"/>
          <w:spacing w:val="4"/>
          <w:sz w:val="24"/>
        </w:rPr>
        <w:t>日在中华人民共和国境内</w:t>
      </w:r>
      <w:r>
        <w:rPr>
          <w:rFonts w:hint="eastAsia" w:ascii="宋体" w:hAnsi="宋体" w:cs="宋体"/>
          <w:color w:val="0D0D0D"/>
          <w:spacing w:val="4"/>
          <w:sz w:val="24"/>
          <w:u w:val="single"/>
        </w:rPr>
        <w:t>（详细注册地址）</w:t>
      </w:r>
      <w:r>
        <w:rPr>
          <w:rFonts w:hint="eastAsia" w:ascii="宋体" w:hAnsi="宋体" w:cs="宋体"/>
          <w:color w:val="0D0D0D"/>
          <w:spacing w:val="4"/>
          <w:sz w:val="24"/>
        </w:rPr>
        <w:t>合法注册并经营，公司主营业务为</w:t>
      </w:r>
      <w:r>
        <w:rPr>
          <w:rFonts w:hint="eastAsia" w:ascii="宋体" w:hAnsi="宋体" w:cs="宋体"/>
          <w:color w:val="0D0D0D"/>
          <w:spacing w:val="4"/>
          <w:sz w:val="24"/>
          <w:u w:val="single"/>
        </w:rPr>
        <w:t>（      ）</w:t>
      </w:r>
      <w:r>
        <w:rPr>
          <w:rFonts w:hint="eastAsia" w:ascii="宋体" w:hAnsi="宋体" w:cs="宋体"/>
          <w:color w:val="0D0D0D"/>
          <w:spacing w:val="4"/>
          <w:sz w:val="24"/>
        </w:rPr>
        <w:t>，营业（生产经营）面积为</w:t>
      </w:r>
      <w:r>
        <w:rPr>
          <w:rFonts w:hint="eastAsia" w:ascii="宋体" w:hAnsi="宋体" w:cs="宋体"/>
          <w:color w:val="0D0D0D"/>
          <w:spacing w:val="4"/>
          <w:sz w:val="24"/>
          <w:u w:val="single"/>
        </w:rPr>
        <w:t>（  ）</w:t>
      </w:r>
      <w:r>
        <w:rPr>
          <w:rFonts w:hint="eastAsia" w:ascii="宋体" w:hAnsi="宋体" w:cs="宋体"/>
          <w:color w:val="0D0D0D"/>
          <w:spacing w:val="4"/>
          <w:sz w:val="24"/>
        </w:rPr>
        <w:t>。主要设备有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，其中用于履行本合同所必需的设备有</w:t>
      </w:r>
      <w:r>
        <w:rPr>
          <w:rFonts w:hint="eastAsia" w:ascii="宋体" w:hAnsi="宋体" w:cs="宋体"/>
          <w:color w:val="0D0D0D"/>
          <w:spacing w:val="4"/>
          <w:sz w:val="24"/>
          <w:u w:val="single"/>
        </w:rPr>
        <w:t>（    品种、数量）</w:t>
      </w:r>
      <w:r>
        <w:rPr>
          <w:rFonts w:hint="eastAsia" w:ascii="宋体" w:hAnsi="宋体" w:cs="宋体"/>
          <w:color w:val="0D0D0D"/>
          <w:spacing w:val="4"/>
          <w:sz w:val="24"/>
        </w:rPr>
        <w:t>；现有员工数量为</w:t>
      </w:r>
      <w:r>
        <w:rPr>
          <w:rFonts w:hint="eastAsia" w:ascii="宋体" w:hAnsi="宋体" w:cs="宋体"/>
          <w:color w:val="0D0D0D"/>
          <w:spacing w:val="4"/>
          <w:sz w:val="24"/>
          <w:u w:val="single"/>
        </w:rPr>
        <w:t>（       ）</w:t>
      </w:r>
      <w:r>
        <w:rPr>
          <w:rFonts w:hint="eastAsia" w:ascii="宋体" w:hAnsi="宋体" w:cs="宋体"/>
          <w:color w:val="0D0D0D"/>
          <w:spacing w:val="4"/>
          <w:sz w:val="24"/>
        </w:rPr>
        <w:t>，其中与履行本合同相关的专业技术人员有</w:t>
      </w:r>
      <w:r>
        <w:rPr>
          <w:rFonts w:hint="eastAsia" w:ascii="宋体" w:hAnsi="宋体" w:cs="宋体"/>
          <w:color w:val="0D0D0D"/>
          <w:spacing w:val="4"/>
          <w:sz w:val="24"/>
          <w:u w:val="single"/>
        </w:rPr>
        <w:t>（          专业能力、数量）</w:t>
      </w:r>
      <w:r>
        <w:rPr>
          <w:rFonts w:hint="eastAsia" w:ascii="宋体" w:hAnsi="宋体" w:cs="宋体"/>
          <w:color w:val="0D0D0D"/>
          <w:spacing w:val="4"/>
          <w:sz w:val="24"/>
        </w:rPr>
        <w:t>，本公司郑重承诺，具有履行本合同所必需的设备和专业技术能力。</w:t>
      </w:r>
    </w:p>
    <w:p>
      <w:pPr>
        <w:pStyle w:val="17"/>
        <w:spacing w:line="360" w:lineRule="auto"/>
        <w:rPr>
          <w:rFonts w:ascii="宋体" w:hAnsi="宋体" w:cs="宋体"/>
          <w:spacing w:val="4"/>
          <w:sz w:val="24"/>
        </w:rPr>
      </w:pPr>
    </w:p>
    <w:p>
      <w:pPr>
        <w:spacing w:line="360" w:lineRule="auto"/>
        <w:rPr>
          <w:rFonts w:ascii="宋体" w:hAnsi="宋体" w:cs="宋体"/>
          <w:spacing w:val="4"/>
          <w:sz w:val="24"/>
          <w:szCs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pStyle w:val="26"/>
        <w:spacing w:line="360" w:lineRule="auto"/>
        <w:rPr>
          <w:rFonts w:ascii="宋体" w:hAnsi="宋体" w:cs="宋体"/>
          <w:spacing w:val="4"/>
          <w:sz w:val="24"/>
        </w:rPr>
      </w:pPr>
    </w:p>
    <w:p>
      <w:pPr>
        <w:spacing w:before="240" w:beforeLines="100" w:after="120" w:afterLines="50" w:line="360" w:lineRule="auto"/>
        <w:ind w:firstLine="170"/>
        <w:rPr>
          <w:rFonts w:ascii="宋体" w:hAnsi="宋体" w:cs="宋体"/>
          <w:spacing w:val="4"/>
          <w:sz w:val="24"/>
        </w:rPr>
      </w:pPr>
    </w:p>
    <w:p>
      <w:pPr>
        <w:pStyle w:val="17"/>
        <w:spacing w:line="360" w:lineRule="auto"/>
        <w:rPr>
          <w:rFonts w:ascii="宋体" w:hAnsi="宋体" w:cs="宋体"/>
          <w:spacing w:val="4"/>
          <w:sz w:val="24"/>
        </w:rPr>
      </w:pPr>
    </w:p>
    <w:p>
      <w:pPr>
        <w:spacing w:line="360" w:lineRule="auto"/>
        <w:rPr>
          <w:rFonts w:ascii="宋体" w:hAnsi="宋体" w:cs="宋体"/>
        </w:rPr>
      </w:pPr>
    </w:p>
    <w:p>
      <w:pPr>
        <w:pStyle w:val="36"/>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pPr>
        <w:pStyle w:val="36"/>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pPr>
        <w:spacing w:line="360" w:lineRule="auto"/>
        <w:rPr>
          <w:rFonts w:ascii="宋体" w:hAnsi="宋体" w:cs="宋体"/>
          <w:sz w:val="24"/>
        </w:rPr>
      </w:pPr>
      <w:r>
        <w:rPr>
          <w:rFonts w:hint="eastAsia" w:ascii="宋体" w:hAnsi="宋体" w:cs="宋体"/>
          <w:sz w:val="24"/>
        </w:rPr>
        <w:br w:type="page"/>
      </w:r>
      <w:r>
        <w:rPr>
          <w:rFonts w:hint="eastAsia" w:ascii="宋体" w:hAnsi="宋体" w:cs="宋体"/>
          <w:b/>
          <w:bCs/>
          <w:sz w:val="24"/>
        </w:rPr>
        <w:t>附件 有依法缴纳税收和社会保障资金的良好记录</w:t>
      </w:r>
    </w:p>
    <w:p>
      <w:pPr>
        <w:spacing w:line="360" w:lineRule="auto"/>
        <w:rPr>
          <w:rFonts w:ascii="宋体" w:hAnsi="宋体" w:cs="宋体"/>
          <w:b/>
          <w:bCs/>
          <w:sz w:val="24"/>
        </w:rPr>
      </w:pP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提供：</w:t>
      </w:r>
    </w:p>
    <w:p>
      <w:pPr>
        <w:pStyle w:val="26"/>
        <w:spacing w:line="360" w:lineRule="auto"/>
        <w:rPr>
          <w:rFonts w:ascii="宋体" w:hAnsi="宋体" w:cs="宋体"/>
        </w:rPr>
      </w:pPr>
      <w:r>
        <w:rPr>
          <w:rFonts w:hint="eastAsia" w:ascii="宋体" w:hAnsi="宋体" w:cs="宋体"/>
          <w:b/>
          <w:bCs/>
          <w:sz w:val="24"/>
        </w:rPr>
        <w:t>社会保障资金：</w:t>
      </w:r>
    </w:p>
    <w:p>
      <w:pPr>
        <w:spacing w:line="360" w:lineRule="auto"/>
        <w:ind w:firstLine="480" w:firstLineChars="200"/>
        <w:rPr>
          <w:rFonts w:ascii="宋体" w:hAnsi="宋体" w:cs="宋体"/>
          <w:sz w:val="24"/>
        </w:rPr>
      </w:pPr>
      <w:r>
        <w:rPr>
          <w:rFonts w:hint="eastAsia" w:ascii="宋体" w:hAnsi="宋体" w:cs="宋体"/>
          <w:sz w:val="24"/>
        </w:rPr>
        <w:t>1、供应商须依法缴纳社会保障资金，须提供磋商响应文件开启之日前一年内任意1个月的社会保障资金缴纳记录复印件并加盖供应商单位公章，自行编写无效。依法不需要缴纳社会保障资金的供应商提供相应证明文件证明依法不需要缴纳社会保障资金；</w:t>
      </w:r>
    </w:p>
    <w:p>
      <w:pPr>
        <w:spacing w:line="360" w:lineRule="auto"/>
        <w:ind w:firstLine="480" w:firstLineChars="200"/>
        <w:rPr>
          <w:rFonts w:ascii="宋体" w:hAnsi="宋体" w:cs="宋体"/>
          <w:sz w:val="24"/>
        </w:rPr>
      </w:pPr>
      <w:r>
        <w:rPr>
          <w:rFonts w:hint="eastAsia" w:ascii="宋体" w:hAnsi="宋体" w:cs="宋体"/>
          <w:sz w:val="24"/>
        </w:rPr>
        <w:t>2、国家、地方工商管理部门或者其他相关管理部门对社会保障资金缴纳（如免缴）有特别政策的，须提供相关政策文件复印件以及供应商满足相关政策文件的证明文件。</w:t>
      </w:r>
    </w:p>
    <w:p>
      <w:pPr>
        <w:pStyle w:val="26"/>
        <w:spacing w:line="360" w:lineRule="auto"/>
        <w:rPr>
          <w:rFonts w:ascii="宋体" w:hAnsi="宋体" w:cs="宋体"/>
        </w:rPr>
      </w:pPr>
      <w:r>
        <w:rPr>
          <w:rFonts w:hint="eastAsia" w:ascii="宋体" w:hAnsi="宋体" w:cs="宋体"/>
          <w:b/>
          <w:bCs/>
          <w:sz w:val="24"/>
        </w:rPr>
        <w:t>依法缴纳税收：</w:t>
      </w:r>
    </w:p>
    <w:p>
      <w:pPr>
        <w:spacing w:line="360" w:lineRule="auto"/>
        <w:ind w:firstLine="480" w:firstLineChars="200"/>
        <w:rPr>
          <w:rFonts w:ascii="宋体" w:hAnsi="宋体" w:cs="宋体"/>
          <w:sz w:val="24"/>
        </w:rPr>
      </w:pPr>
      <w:r>
        <w:rPr>
          <w:rFonts w:hint="eastAsia" w:ascii="宋体" w:hAnsi="宋体" w:cs="宋体"/>
          <w:sz w:val="24"/>
        </w:rPr>
        <w:t>3、供应商须提供磋商响应文件开启之日前一年内任意1个月的依法缴纳税收证明（不同于社保税的其他完税证明）。依法免税的供应商提供相应文件证明其依法免税。</w:t>
      </w:r>
    </w:p>
    <w:p>
      <w:pPr>
        <w:spacing w:line="360" w:lineRule="auto"/>
        <w:ind w:firstLine="480" w:firstLineChars="200"/>
        <w:rPr>
          <w:rFonts w:ascii="宋体" w:hAnsi="宋体" w:cs="宋体"/>
          <w:sz w:val="24"/>
        </w:rPr>
      </w:pPr>
      <w:r>
        <w:rPr>
          <w:rFonts w:hint="eastAsia" w:ascii="宋体" w:hAnsi="宋体" w:cs="宋体"/>
          <w:sz w:val="24"/>
        </w:rPr>
        <w:t>4、国家、地方工商管理部门或者其他相关管理部门对企业纳税有特别规定的，须提供相关政策性文件复印件和供应商满足政策文件规定的证明文件。</w:t>
      </w:r>
    </w:p>
    <w:p>
      <w:pPr>
        <w:spacing w:line="360" w:lineRule="auto"/>
        <w:rPr>
          <w:rFonts w:ascii="宋体" w:hAnsi="宋体" w:cs="宋体"/>
          <w:sz w:val="24"/>
        </w:rPr>
      </w:pPr>
    </w:p>
    <w:p>
      <w:pPr>
        <w:spacing w:line="360" w:lineRule="auto"/>
        <w:rPr>
          <w:rFonts w:ascii="宋体" w:hAnsi="宋体" w:cs="宋体"/>
          <w:b/>
          <w:bCs/>
          <w:sz w:val="24"/>
        </w:rPr>
      </w:pPr>
    </w:p>
    <w:bookmarkEnd w:id="469"/>
    <w:bookmarkEnd w:id="470"/>
    <w:p>
      <w:pPr>
        <w:spacing w:line="360" w:lineRule="auto"/>
        <w:rPr>
          <w:rFonts w:ascii="宋体" w:hAnsi="宋体" w:cs="宋体"/>
          <w:sz w:val="24"/>
        </w:rPr>
      </w:pPr>
    </w:p>
    <w:p>
      <w:pPr>
        <w:spacing w:line="360" w:lineRule="auto"/>
        <w:rPr>
          <w:rFonts w:ascii="宋体" w:hAnsi="宋体" w:cs="宋体"/>
          <w:b/>
          <w:bCs/>
          <w:sz w:val="24"/>
        </w:rPr>
      </w:pPr>
      <w:r>
        <w:rPr>
          <w:rFonts w:hint="eastAsia" w:ascii="宋体" w:hAnsi="宋体" w:cs="宋体"/>
          <w:sz w:val="24"/>
        </w:rPr>
        <w:br w:type="page"/>
      </w:r>
      <w:r>
        <w:rPr>
          <w:rFonts w:hint="eastAsia" w:ascii="宋体" w:hAnsi="宋体" w:cs="宋体"/>
          <w:b/>
          <w:bCs/>
          <w:sz w:val="24"/>
        </w:rPr>
        <w:t>附件 参加本次政府采购活动前三年内，在经营活动中没有重大违法记录的书面声明</w:t>
      </w:r>
    </w:p>
    <w:p>
      <w:pPr>
        <w:spacing w:line="360" w:lineRule="auto"/>
        <w:rPr>
          <w:rFonts w:ascii="宋体" w:hAnsi="宋体" w:cs="宋体"/>
          <w:sz w:val="24"/>
        </w:rPr>
      </w:pPr>
    </w:p>
    <w:p>
      <w:pPr>
        <w:spacing w:line="360" w:lineRule="auto"/>
        <w:rPr>
          <w:rFonts w:ascii="宋体" w:hAnsi="宋体" w:cs="宋体"/>
          <w:sz w:val="24"/>
        </w:rPr>
      </w:pPr>
    </w:p>
    <w:p>
      <w:pPr>
        <w:widowControl/>
        <w:spacing w:line="360" w:lineRule="auto"/>
        <w:rPr>
          <w:rFonts w:ascii="宋体" w:hAnsi="宋体" w:cs="宋体"/>
          <w:kern w:val="0"/>
          <w:sz w:val="24"/>
          <w:szCs w:val="24"/>
        </w:rPr>
      </w:pPr>
      <w:r>
        <w:rPr>
          <w:rFonts w:hint="eastAsia" w:ascii="宋体" w:hAnsi="宋体" w:cs="宋体"/>
          <w:kern w:val="0"/>
          <w:sz w:val="24"/>
          <w:szCs w:val="24"/>
          <w:u w:val="single"/>
        </w:rPr>
        <w:t>（陕西师范大学附属中学）</w:t>
      </w:r>
      <w:r>
        <w:rPr>
          <w:rFonts w:hint="eastAsia" w:ascii="宋体" w:hAnsi="宋体" w:cs="宋体"/>
          <w:kern w:val="0"/>
          <w:sz w:val="24"/>
          <w:szCs w:val="24"/>
        </w:rPr>
        <w:t>：</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项目名称</w:t>
      </w:r>
      <w:r>
        <w:rPr>
          <w:rFonts w:hint="eastAsia" w:ascii="宋体" w:hAnsi="宋体" w:cs="宋体"/>
          <w:kern w:val="0"/>
          <w:sz w:val="24"/>
          <w:szCs w:val="24"/>
        </w:rPr>
        <w:t>（项目编号：____）的</w:t>
      </w:r>
      <w:r>
        <w:rPr>
          <w:rFonts w:hint="eastAsia" w:ascii="宋体" w:hAnsi="宋体" w:cs="宋体"/>
          <w:sz w:val="24"/>
        </w:rPr>
        <w:t>供应商</w:t>
      </w:r>
      <w:r>
        <w:rPr>
          <w:rFonts w:hint="eastAsia" w:ascii="宋体" w:hAnsi="宋体" w:cs="宋体"/>
          <w:kern w:val="0"/>
          <w:sz w:val="24"/>
          <w:szCs w:val="24"/>
        </w:rPr>
        <w:t>，在此郑重声明：</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1、在参加本次政府采购活动前3年内的经营活动中____（填“没有”或“有”）重大违法记录。</w:t>
      </w:r>
      <w:r>
        <w:rPr>
          <w:rFonts w:hint="eastAsia" w:ascii="宋体" w:hAnsi="宋体" w:cs="宋体"/>
          <w:sz w:val="24"/>
        </w:rPr>
        <w:t>供应商</w:t>
      </w:r>
      <w:r>
        <w:rPr>
          <w:rFonts w:hint="eastAsia" w:ascii="宋体" w:hAnsi="宋体" w:cs="宋体"/>
          <w:b/>
          <w:bCs/>
          <w:kern w:val="0"/>
          <w:sz w:val="24"/>
          <w:szCs w:val="24"/>
        </w:rPr>
        <w:t>在参加政府采购活动前3年内因违法经营被禁止在一定期限内参加政府采购活动，期限届满的，可以参加政府采购活动，但应提供期限届满的证明材料。</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2、我方______（填“未被列入”或“被列入”）失信被执行人名单。</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3、我方______（填“未被列入”或“被列入”）重大税收违法案件当事人名单。</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4、我方______（填“未被列入”或“被列入”）政府采购严重违法失信行为记录名单。</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pPr>
        <w:widowControl/>
        <w:spacing w:line="360" w:lineRule="auto"/>
        <w:ind w:firstLine="480" w:firstLineChars="200"/>
        <w:rPr>
          <w:rFonts w:ascii="宋体" w:hAnsi="宋体" w:cs="宋体"/>
          <w:kern w:val="0"/>
          <w:sz w:val="24"/>
          <w:szCs w:val="24"/>
        </w:rPr>
      </w:pPr>
      <w:r>
        <w:rPr>
          <w:rFonts w:hint="eastAsia" w:ascii="宋体" w:hAnsi="宋体" w:cs="宋体"/>
          <w:kern w:val="0"/>
          <w:sz w:val="24"/>
          <w:szCs w:val="24"/>
        </w:rPr>
        <w:t>特此声明。</w:t>
      </w:r>
    </w:p>
    <w:p>
      <w:pPr>
        <w:spacing w:line="360" w:lineRule="auto"/>
        <w:rPr>
          <w:rFonts w:ascii="宋体" w:hAnsi="宋体" w:cs="宋体"/>
          <w:sz w:val="24"/>
        </w:rPr>
      </w:pPr>
    </w:p>
    <w:p>
      <w:pPr>
        <w:spacing w:line="360" w:lineRule="auto"/>
        <w:rPr>
          <w:rFonts w:ascii="宋体" w:hAnsi="宋体" w:cs="宋体"/>
          <w:sz w:val="24"/>
        </w:rPr>
      </w:pPr>
    </w:p>
    <w:p>
      <w:pPr>
        <w:pStyle w:val="36"/>
        <w:spacing w:before="120" w:beforeLines="50" w:beforeAutospacing="0" w:after="240" w:afterLines="100" w:afterAutospacing="0" w:line="360" w:lineRule="auto"/>
        <w:jc w:val="right"/>
        <w:rPr>
          <w:rFonts w:cs="宋体"/>
          <w:szCs w:val="24"/>
          <w:u w:val="single"/>
        </w:rPr>
      </w:pPr>
      <w:r>
        <w:rPr>
          <w:rFonts w:hint="eastAsia" w:cs="宋体"/>
          <w:szCs w:val="24"/>
        </w:rPr>
        <w:t>供应商名称：</w:t>
      </w:r>
      <w:r>
        <w:rPr>
          <w:rFonts w:hint="eastAsia" w:cs="宋体"/>
          <w:szCs w:val="24"/>
          <w:u w:val="single"/>
        </w:rPr>
        <w:t xml:space="preserve">                           （盖章）</w:t>
      </w:r>
    </w:p>
    <w:p>
      <w:pPr>
        <w:pStyle w:val="36"/>
        <w:spacing w:before="120" w:beforeLines="50" w:beforeAutospacing="0" w:after="240" w:afterLines="100" w:afterAutospacing="0" w:line="360" w:lineRule="auto"/>
        <w:jc w:val="right"/>
        <w:rPr>
          <w:rFonts w:cs="宋体"/>
          <w:szCs w:val="24"/>
        </w:rPr>
      </w:pPr>
      <w:r>
        <w:rPr>
          <w:rFonts w:hint="eastAsia" w:cs="宋体"/>
          <w:szCs w:val="24"/>
        </w:rPr>
        <w:t>法定代表人或授权代理人：</w:t>
      </w:r>
      <w:r>
        <w:rPr>
          <w:rFonts w:hint="eastAsia" w:cs="宋体"/>
          <w:szCs w:val="24"/>
          <w:u w:val="single"/>
        </w:rPr>
        <w:t xml:space="preserve">         （签字或盖章）</w:t>
      </w:r>
    </w:p>
    <w:p>
      <w:pPr>
        <w:spacing w:line="360" w:lineRule="auto"/>
        <w:rPr>
          <w:rFonts w:ascii="宋体" w:hAnsi="宋体" w:cs="宋体"/>
          <w:sz w:val="24"/>
        </w:rPr>
      </w:pPr>
    </w:p>
    <w:p>
      <w:pPr>
        <w:pStyle w:val="17"/>
        <w:spacing w:line="360" w:lineRule="auto"/>
        <w:rPr>
          <w:rFonts w:ascii="宋体" w:hAnsi="宋体" w:cs="宋体"/>
          <w:sz w:val="24"/>
        </w:rPr>
      </w:pPr>
    </w:p>
    <w:p>
      <w:pPr>
        <w:spacing w:line="360" w:lineRule="auto"/>
        <w:rPr>
          <w:rFonts w:ascii="宋体" w:hAnsi="宋体" w:cs="宋体"/>
          <w:sz w:val="24"/>
        </w:rPr>
      </w:pPr>
    </w:p>
    <w:p>
      <w:pPr>
        <w:widowControl/>
        <w:spacing w:line="360" w:lineRule="auto"/>
        <w:ind w:firstLine="480" w:firstLineChars="200"/>
        <w:rPr>
          <w:rFonts w:ascii="宋体" w:hAnsi="宋体" w:cs="宋体"/>
          <w:b/>
          <w:bCs/>
          <w:sz w:val="24"/>
        </w:rPr>
      </w:pPr>
      <w:r>
        <w:rPr>
          <w:rFonts w:hint="eastAsia" w:ascii="宋体" w:hAnsi="宋体" w:cs="宋体"/>
          <w:sz w:val="24"/>
        </w:rPr>
        <w:br w:type="page"/>
      </w:r>
      <w:r>
        <w:rPr>
          <w:rFonts w:hint="eastAsia" w:ascii="宋体" w:hAnsi="宋体" w:cs="宋体"/>
          <w:b/>
          <w:bCs/>
          <w:sz w:val="24"/>
        </w:rPr>
        <w:t>附件  磋商文件要求的其他证明文件</w:t>
      </w: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pStyle w:val="26"/>
        <w:spacing w:line="360" w:lineRule="auto"/>
        <w:rPr>
          <w:rFonts w:ascii="宋体" w:hAnsi="宋体" w:cs="宋体"/>
        </w:rPr>
      </w:pPr>
    </w:p>
    <w:p>
      <w:pPr>
        <w:spacing w:line="360" w:lineRule="auto"/>
        <w:rPr>
          <w:rFonts w:ascii="宋体" w:hAnsi="宋体" w:cs="宋体"/>
          <w:b/>
          <w:bCs/>
          <w:sz w:val="24"/>
        </w:rPr>
      </w:pPr>
      <w:r>
        <w:rPr>
          <w:rFonts w:hint="eastAsia" w:ascii="宋体" w:hAnsi="宋体" w:cs="宋体"/>
          <w:b/>
          <w:bCs/>
          <w:sz w:val="24"/>
        </w:rPr>
        <w:t>附件  落实政府采购政策资料（不是中小微企业不需提供）</w:t>
      </w:r>
    </w:p>
    <w:p>
      <w:pPr>
        <w:pStyle w:val="26"/>
      </w:pPr>
      <w:r>
        <w:rPr>
          <w:rFonts w:hint="eastAsia"/>
          <w:b/>
          <w:bCs/>
          <w:sz w:val="24"/>
          <w:szCs w:val="22"/>
        </w:rPr>
        <w:t>1</w:t>
      </w:r>
    </w:p>
    <w:p>
      <w:pPr>
        <w:spacing w:line="360" w:lineRule="auto"/>
        <w:ind w:firstLine="482" w:firstLineChars="200"/>
        <w:rPr>
          <w:rFonts w:ascii="宋体" w:hAnsi="宋体" w:cs="宋体"/>
          <w:b/>
          <w:bCs/>
          <w:sz w:val="24"/>
        </w:rPr>
      </w:pPr>
    </w:p>
    <w:p>
      <w:pPr>
        <w:pStyle w:val="26"/>
        <w:spacing w:line="360" w:lineRule="auto"/>
        <w:jc w:val="center"/>
        <w:rPr>
          <w:rFonts w:ascii="宋体" w:hAnsi="宋体" w:cs="宋体"/>
          <w:sz w:val="28"/>
          <w:szCs w:val="28"/>
        </w:rPr>
      </w:pPr>
      <w:r>
        <w:rPr>
          <w:rFonts w:ascii="宋体" w:hAnsi="宋体" w:cs="宋体"/>
          <w:sz w:val="28"/>
          <w:szCs w:val="28"/>
        </w:rPr>
        <w:t>中小企业声明函（</w:t>
      </w:r>
      <w:r>
        <w:rPr>
          <w:rFonts w:hint="eastAsia" w:ascii="宋体" w:hAnsi="宋体" w:cs="宋体"/>
          <w:sz w:val="28"/>
          <w:szCs w:val="28"/>
        </w:rPr>
        <w:t>服务</w:t>
      </w:r>
      <w:r>
        <w:rPr>
          <w:rFonts w:ascii="宋体" w:hAnsi="宋体" w:cs="宋体"/>
          <w:sz w:val="28"/>
          <w:szCs w:val="28"/>
        </w:rPr>
        <w:t>）</w:t>
      </w:r>
    </w:p>
    <w:p>
      <w:pPr>
        <w:pStyle w:val="26"/>
        <w:spacing w:line="360" w:lineRule="auto"/>
        <w:jc w:val="center"/>
        <w:rPr>
          <w:rFonts w:ascii="宋体" w:hAnsi="宋体" w:cs="宋体"/>
          <w:sz w:val="28"/>
          <w:szCs w:val="28"/>
        </w:rPr>
      </w:pPr>
    </w:p>
    <w:p>
      <w:pPr>
        <w:pStyle w:val="26"/>
        <w:spacing w:line="360" w:lineRule="auto"/>
        <w:ind w:firstLine="720" w:firstLineChars="300"/>
        <w:rPr>
          <w:rFonts w:ascii="宋体" w:hAnsi="宋体" w:cs="宋体"/>
          <w:sz w:val="24"/>
        </w:rPr>
      </w:pPr>
      <w:r>
        <w:rPr>
          <w:rFonts w:ascii="宋体" w:hAnsi="宋体" w:cs="宋体"/>
          <w:sz w:val="24"/>
        </w:rPr>
        <w:t>本公司（联合体）郑重声明，根据《政府采购促进中小企业发展管理办法》（财库﹝2020﹞46 号）的规定，本公司（联合体）参加</w:t>
      </w:r>
      <w:r>
        <w:rPr>
          <w:rFonts w:ascii="宋体" w:hAnsi="宋体" w:cs="宋体"/>
          <w:sz w:val="24"/>
          <w:u w:val="single"/>
        </w:rPr>
        <w:t>（单位名称）</w:t>
      </w:r>
      <w:r>
        <w:rPr>
          <w:rFonts w:ascii="宋体" w:hAnsi="宋体" w:cs="宋体"/>
          <w:sz w:val="24"/>
        </w:rPr>
        <w:t>的</w:t>
      </w:r>
      <w:r>
        <w:rPr>
          <w:rFonts w:ascii="宋体" w:hAnsi="宋体" w:cs="宋体"/>
          <w:sz w:val="24"/>
          <w:u w:val="single"/>
        </w:rPr>
        <w:t>（项目名称）</w:t>
      </w:r>
      <w:r>
        <w:rPr>
          <w:rFonts w:ascii="宋体" w:hAnsi="宋体" w:cs="宋体"/>
          <w:sz w:val="24"/>
        </w:rPr>
        <w:t>采购活动，提供的</w:t>
      </w:r>
      <w:r>
        <w:rPr>
          <w:rFonts w:hint="eastAsia" w:ascii="宋体" w:hAnsi="宋体" w:cs="宋体"/>
          <w:sz w:val="24"/>
        </w:rPr>
        <w:t>服务</w:t>
      </w:r>
      <w:r>
        <w:rPr>
          <w:rFonts w:ascii="宋体" w:hAnsi="宋体" w:cs="宋体"/>
          <w:sz w:val="24"/>
        </w:rPr>
        <w:t xml:space="preserve">全部由符合政策要求的中小企业制造。相关企业（含联合体中的中小企业、签订分包意向协议的中小企业）的具体情况如下： </w:t>
      </w:r>
    </w:p>
    <w:p>
      <w:pPr>
        <w:pStyle w:val="26"/>
        <w:numPr>
          <w:ilvl w:val="0"/>
          <w:numId w:val="11"/>
        </w:numPr>
        <w:spacing w:line="360" w:lineRule="auto"/>
        <w:ind w:firstLine="720" w:firstLineChars="300"/>
        <w:rPr>
          <w:rFonts w:ascii="宋体" w:hAnsi="宋体" w:cs="宋体"/>
          <w:sz w:val="24"/>
        </w:rPr>
      </w:pPr>
      <w:r>
        <w:rPr>
          <w:rFonts w:ascii="宋体" w:hAnsi="宋体" w:cs="宋体"/>
          <w:sz w:val="24"/>
          <w:u w:val="single"/>
        </w:rPr>
        <w:t>（标的名称）</w:t>
      </w:r>
      <w:r>
        <w:rPr>
          <w:rFonts w:ascii="宋体" w:hAnsi="宋体" w:cs="宋体"/>
          <w:sz w:val="24"/>
        </w:rPr>
        <w:t xml:space="preserve"> ，属于</w:t>
      </w:r>
      <w:r>
        <w:rPr>
          <w:rFonts w:ascii="宋体" w:hAnsi="宋体" w:cs="宋体"/>
          <w:sz w:val="24"/>
          <w:u w:val="single"/>
        </w:rPr>
        <w:t>（采购文件中明确的所属行业）</w:t>
      </w:r>
      <w:r>
        <w:rPr>
          <w:rFonts w:ascii="宋体" w:hAnsi="宋体" w:cs="宋体"/>
          <w:sz w:val="24"/>
        </w:rPr>
        <w:t>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 xml:space="preserve">人，营业收入为 </w:t>
      </w:r>
      <w:r>
        <w:rPr>
          <w:rFonts w:hint="eastAsia" w:ascii="宋体" w:hAnsi="宋体" w:cs="宋体"/>
          <w:sz w:val="24"/>
          <w:u w:val="single"/>
        </w:rPr>
        <w:t xml:space="preserve">     </w:t>
      </w:r>
      <w:r>
        <w:rPr>
          <w:rFonts w:ascii="宋体" w:hAnsi="宋体" w:cs="宋体"/>
          <w:sz w:val="24"/>
        </w:rPr>
        <w:t xml:space="preserve">万元，资产总额为 </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（中型企业、小型企业、微型企业）</w:t>
      </w:r>
      <w:r>
        <w:rPr>
          <w:rFonts w:ascii="宋体" w:hAnsi="宋体" w:cs="宋体"/>
          <w:sz w:val="24"/>
        </w:rPr>
        <w:t>；</w:t>
      </w:r>
    </w:p>
    <w:p>
      <w:pPr>
        <w:pStyle w:val="26"/>
        <w:numPr>
          <w:ilvl w:val="0"/>
          <w:numId w:val="11"/>
        </w:numPr>
        <w:spacing w:line="360" w:lineRule="auto"/>
        <w:ind w:firstLine="720" w:firstLineChars="300"/>
        <w:rPr>
          <w:rFonts w:ascii="宋体" w:hAnsi="宋体" w:cs="宋体"/>
          <w:sz w:val="24"/>
        </w:rPr>
      </w:pPr>
      <w:r>
        <w:rPr>
          <w:rFonts w:ascii="宋体" w:hAnsi="宋体" w:cs="宋体"/>
          <w:sz w:val="24"/>
          <w:u w:val="single"/>
        </w:rPr>
        <w:t xml:space="preserve">（标的名称） </w:t>
      </w:r>
      <w:r>
        <w:rPr>
          <w:rFonts w:ascii="宋体" w:hAnsi="宋体" w:cs="宋体"/>
          <w:sz w:val="24"/>
        </w:rPr>
        <w:t>，属于</w:t>
      </w:r>
      <w:r>
        <w:rPr>
          <w:rFonts w:ascii="宋体" w:hAnsi="宋体" w:cs="宋体"/>
          <w:sz w:val="24"/>
          <w:u w:val="single"/>
        </w:rPr>
        <w:t>（采购文件中明确的所属行业）</w:t>
      </w:r>
      <w:r>
        <w:rPr>
          <w:rFonts w:ascii="宋体" w:hAnsi="宋体" w:cs="宋体"/>
          <w:sz w:val="24"/>
        </w:rPr>
        <w:t>行业；制造商为</w:t>
      </w:r>
      <w:r>
        <w:rPr>
          <w:rFonts w:ascii="宋体" w:hAnsi="宋体" w:cs="宋体"/>
          <w:sz w:val="24"/>
          <w:u w:val="single"/>
        </w:rPr>
        <w:t>（企业名称）</w:t>
      </w:r>
      <w:r>
        <w:rPr>
          <w:rFonts w:ascii="宋体" w:hAnsi="宋体" w:cs="宋体"/>
          <w:sz w:val="24"/>
        </w:rPr>
        <w:t>，从业人员</w:t>
      </w:r>
      <w:r>
        <w:rPr>
          <w:rFonts w:hint="eastAsia" w:ascii="宋体" w:hAnsi="宋体" w:cs="宋体"/>
          <w:sz w:val="24"/>
          <w:u w:val="single"/>
        </w:rPr>
        <w:t xml:space="preserve">     </w:t>
      </w:r>
      <w:r>
        <w:rPr>
          <w:rFonts w:ascii="宋体" w:hAnsi="宋体" w:cs="宋体"/>
          <w:sz w:val="24"/>
        </w:rPr>
        <w:t xml:space="preserve">人，营业收入为 </w:t>
      </w:r>
      <w:r>
        <w:rPr>
          <w:rFonts w:hint="eastAsia" w:ascii="宋体" w:hAnsi="宋体" w:cs="宋体"/>
          <w:sz w:val="24"/>
          <w:u w:val="single"/>
        </w:rPr>
        <w:t xml:space="preserve">     </w:t>
      </w:r>
      <w:r>
        <w:rPr>
          <w:rFonts w:ascii="宋体" w:hAnsi="宋体" w:cs="宋体"/>
          <w:sz w:val="24"/>
        </w:rPr>
        <w:t xml:space="preserve">万元，资产总额为 </w:t>
      </w:r>
      <w:r>
        <w:rPr>
          <w:rFonts w:hint="eastAsia" w:ascii="宋体" w:hAnsi="宋体" w:cs="宋体"/>
          <w:sz w:val="24"/>
          <w:u w:val="single"/>
        </w:rPr>
        <w:t xml:space="preserve">   </w:t>
      </w:r>
      <w:r>
        <w:rPr>
          <w:rFonts w:ascii="宋体" w:hAnsi="宋体" w:cs="宋体"/>
          <w:sz w:val="24"/>
        </w:rPr>
        <w:t>万元，属于</w:t>
      </w:r>
      <w:r>
        <w:rPr>
          <w:rFonts w:ascii="宋体" w:hAnsi="宋体" w:cs="宋体"/>
          <w:sz w:val="24"/>
          <w:u w:val="single"/>
        </w:rPr>
        <w:t>（中型企业、小型企业、微型企业）</w:t>
      </w:r>
      <w:r>
        <w:rPr>
          <w:rFonts w:ascii="宋体" w:hAnsi="宋体" w:cs="宋体"/>
          <w:sz w:val="24"/>
        </w:rPr>
        <w:t xml:space="preserve">； </w:t>
      </w:r>
    </w:p>
    <w:p>
      <w:pPr>
        <w:pStyle w:val="26"/>
        <w:spacing w:line="360" w:lineRule="auto"/>
        <w:ind w:firstLine="720" w:firstLineChars="300"/>
        <w:rPr>
          <w:rFonts w:ascii="宋体" w:hAnsi="宋体" w:cs="宋体"/>
          <w:sz w:val="24"/>
        </w:rPr>
      </w:pPr>
      <w:r>
        <w:rPr>
          <w:rFonts w:ascii="宋体" w:hAnsi="宋体" w:cs="宋体"/>
          <w:sz w:val="24"/>
        </w:rPr>
        <w:t>……</w:t>
      </w:r>
    </w:p>
    <w:p>
      <w:pPr>
        <w:pStyle w:val="26"/>
        <w:spacing w:line="360" w:lineRule="auto"/>
        <w:ind w:firstLine="720" w:firstLineChars="300"/>
        <w:rPr>
          <w:rFonts w:ascii="宋体" w:hAnsi="宋体" w:cs="宋体"/>
          <w:sz w:val="24"/>
        </w:rPr>
      </w:pPr>
      <w:r>
        <w:rPr>
          <w:rFonts w:ascii="宋体" w:hAnsi="宋体" w:cs="宋体"/>
          <w:sz w:val="24"/>
        </w:rPr>
        <w:t xml:space="preserve">以上企业，不属于大企业的分支机构，不存在控股股东为大企业的情形，也不存在与大企业的负责人为同一人的情形。 </w:t>
      </w:r>
    </w:p>
    <w:p>
      <w:pPr>
        <w:pStyle w:val="26"/>
        <w:spacing w:line="360" w:lineRule="auto"/>
        <w:ind w:firstLine="720" w:firstLineChars="300"/>
        <w:rPr>
          <w:rFonts w:ascii="宋体" w:hAnsi="宋体" w:cs="宋体"/>
          <w:sz w:val="24"/>
        </w:rPr>
      </w:pPr>
      <w:r>
        <w:rPr>
          <w:rFonts w:ascii="宋体" w:hAnsi="宋体" w:cs="宋体"/>
          <w:sz w:val="24"/>
        </w:rPr>
        <w:t xml:space="preserve">本企业对上述声明内容的真实性负责。如有虚假，将依法承担相应责任。 </w:t>
      </w:r>
    </w:p>
    <w:p>
      <w:pPr>
        <w:pStyle w:val="26"/>
        <w:spacing w:line="360" w:lineRule="auto"/>
        <w:ind w:firstLine="720" w:firstLineChars="300"/>
        <w:rPr>
          <w:rFonts w:ascii="宋体" w:hAnsi="宋体" w:cs="宋体"/>
          <w:sz w:val="24"/>
        </w:rPr>
      </w:pPr>
    </w:p>
    <w:p>
      <w:pPr>
        <w:pStyle w:val="26"/>
        <w:spacing w:line="360" w:lineRule="auto"/>
        <w:ind w:firstLine="720" w:firstLineChars="300"/>
        <w:rPr>
          <w:rFonts w:ascii="宋体" w:hAnsi="宋体" w:cs="宋体"/>
          <w:sz w:val="24"/>
        </w:rPr>
      </w:pPr>
    </w:p>
    <w:p>
      <w:pPr>
        <w:pStyle w:val="26"/>
        <w:spacing w:line="360" w:lineRule="auto"/>
        <w:ind w:firstLine="720" w:firstLineChars="300"/>
        <w:rPr>
          <w:rFonts w:ascii="宋体" w:hAnsi="宋体" w:cs="宋体"/>
          <w:sz w:val="24"/>
        </w:rPr>
      </w:pPr>
    </w:p>
    <w:p>
      <w:pPr>
        <w:pStyle w:val="26"/>
        <w:spacing w:line="360" w:lineRule="auto"/>
        <w:ind w:firstLine="720" w:firstLineChars="300"/>
        <w:rPr>
          <w:rFonts w:ascii="宋体" w:hAnsi="宋体" w:cs="宋体"/>
          <w:sz w:val="24"/>
        </w:rPr>
      </w:pPr>
    </w:p>
    <w:p>
      <w:pPr>
        <w:pStyle w:val="26"/>
        <w:spacing w:line="360" w:lineRule="auto"/>
        <w:ind w:firstLine="720" w:firstLineChars="300"/>
        <w:jc w:val="center"/>
        <w:rPr>
          <w:rFonts w:ascii="宋体" w:hAnsi="宋体" w:cs="宋体"/>
          <w:sz w:val="24"/>
        </w:rPr>
      </w:pPr>
      <w:r>
        <w:rPr>
          <w:rFonts w:hint="eastAsia" w:ascii="宋体" w:hAnsi="宋体" w:cs="宋体"/>
          <w:sz w:val="24"/>
        </w:rPr>
        <w:t xml:space="preserve">        </w:t>
      </w:r>
      <w:r>
        <w:rPr>
          <w:rFonts w:ascii="宋体" w:hAnsi="宋体" w:cs="宋体"/>
          <w:sz w:val="24"/>
        </w:rPr>
        <w:t>企业名称（盖章）：</w:t>
      </w:r>
    </w:p>
    <w:p>
      <w:pPr>
        <w:pStyle w:val="26"/>
        <w:spacing w:line="360" w:lineRule="auto"/>
        <w:ind w:firstLine="720" w:firstLineChars="300"/>
        <w:jc w:val="center"/>
        <w:rPr>
          <w:rFonts w:ascii="宋体" w:hAnsi="宋体" w:cs="宋体"/>
          <w:sz w:val="24"/>
        </w:rPr>
      </w:pPr>
      <w:r>
        <w:rPr>
          <w:rFonts w:hint="eastAsia" w:ascii="宋体" w:hAnsi="宋体" w:cs="宋体"/>
          <w:sz w:val="24"/>
        </w:rPr>
        <w:t xml:space="preserve">     </w:t>
      </w:r>
      <w:r>
        <w:rPr>
          <w:rFonts w:ascii="宋体" w:hAnsi="宋体" w:cs="宋体"/>
          <w:sz w:val="24"/>
        </w:rPr>
        <w:t>日期：</w:t>
      </w:r>
    </w:p>
    <w:p>
      <w:pPr>
        <w:pStyle w:val="26"/>
        <w:spacing w:line="360" w:lineRule="auto"/>
        <w:rPr>
          <w:rFonts w:ascii="宋体" w:hAnsi="宋体" w:cs="宋体"/>
          <w:sz w:val="20"/>
        </w:rPr>
      </w:pPr>
      <w:r>
        <w:rPr>
          <w:rFonts w:ascii="宋体" w:hAnsi="宋体" w:cs="宋体"/>
          <w:sz w:val="20"/>
        </w:rPr>
        <w:t>1从业人员、营业收入、资产总额填报上一年度数据，无上一年度数据的新成立企业可不填报</w:t>
      </w:r>
      <w:r>
        <w:rPr>
          <w:rFonts w:hint="eastAsia" w:ascii="宋体" w:hAnsi="宋体" w:cs="宋体"/>
          <w:sz w:val="20"/>
        </w:rPr>
        <w:t>，2</w:t>
      </w:r>
      <w:r>
        <w:rPr>
          <w:rFonts w:ascii="宋体" w:hAnsi="宋体" w:cs="宋体"/>
          <w:sz w:val="20"/>
        </w:rPr>
        <w:t>标</w:t>
      </w:r>
      <w:r>
        <w:rPr>
          <w:rFonts w:hint="eastAsia" w:ascii="宋体" w:hAnsi="宋体" w:cs="宋体"/>
          <w:sz w:val="20"/>
        </w:rPr>
        <w:t>的</w:t>
      </w:r>
      <w:r>
        <w:rPr>
          <w:rFonts w:ascii="宋体" w:hAnsi="宋体" w:cs="宋体"/>
          <w:sz w:val="20"/>
        </w:rPr>
        <w:t>名称</w:t>
      </w:r>
      <w:r>
        <w:rPr>
          <w:rFonts w:hint="eastAsia" w:ascii="宋体" w:hAnsi="宋体" w:cs="宋体"/>
          <w:sz w:val="20"/>
        </w:rPr>
        <w:t>逐项</w:t>
      </w:r>
      <w:r>
        <w:rPr>
          <w:rFonts w:ascii="宋体" w:hAnsi="宋体" w:cs="宋体"/>
          <w:sz w:val="20"/>
        </w:rPr>
        <w:t>填写</w:t>
      </w:r>
      <w:r>
        <w:rPr>
          <w:rFonts w:hint="eastAsia" w:ascii="宋体" w:hAnsi="宋体" w:cs="宋体"/>
          <w:sz w:val="20"/>
        </w:rPr>
        <w:t>所有采购</w:t>
      </w:r>
      <w:r>
        <w:rPr>
          <w:rFonts w:ascii="宋体" w:hAnsi="宋体" w:cs="宋体"/>
          <w:sz w:val="20"/>
        </w:rPr>
        <w:t>产品名称</w:t>
      </w:r>
      <w:r>
        <w:rPr>
          <w:rFonts w:hint="eastAsia" w:ascii="宋体" w:hAnsi="宋体" w:cs="宋体"/>
          <w:sz w:val="20"/>
        </w:rPr>
        <w:t>。</w:t>
      </w:r>
    </w:p>
    <w:p>
      <w:pPr>
        <w:pStyle w:val="26"/>
        <w:spacing w:line="360" w:lineRule="auto"/>
        <w:rPr>
          <w:rFonts w:ascii="宋体" w:hAnsi="宋体" w:cs="宋体"/>
          <w:sz w:val="20"/>
        </w:rPr>
      </w:pPr>
    </w:p>
    <w:p>
      <w:pPr>
        <w:pStyle w:val="26"/>
        <w:spacing w:line="360" w:lineRule="auto"/>
        <w:rPr>
          <w:rFonts w:ascii="宋体" w:hAnsi="宋体" w:cs="宋体"/>
          <w:sz w:val="20"/>
        </w:rPr>
      </w:pPr>
    </w:p>
    <w:p>
      <w:pPr>
        <w:pStyle w:val="26"/>
        <w:spacing w:line="360" w:lineRule="auto"/>
        <w:rPr>
          <w:rFonts w:ascii="宋体" w:hAnsi="宋体" w:cs="宋体"/>
          <w:sz w:val="20"/>
        </w:rPr>
      </w:pPr>
    </w:p>
    <w:p>
      <w:pPr>
        <w:pStyle w:val="26"/>
        <w:spacing w:line="360" w:lineRule="auto"/>
        <w:rPr>
          <w:rFonts w:ascii="宋体" w:hAnsi="宋体" w:cs="宋体"/>
          <w:sz w:val="20"/>
        </w:rPr>
      </w:pPr>
    </w:p>
    <w:p>
      <w:pPr>
        <w:rPr>
          <w:b/>
          <w:bCs/>
          <w:sz w:val="24"/>
          <w:szCs w:val="22"/>
        </w:rPr>
      </w:pPr>
      <w:r>
        <w:rPr>
          <w:rFonts w:hint="eastAsia"/>
          <w:b/>
          <w:bCs/>
          <w:sz w:val="24"/>
          <w:szCs w:val="22"/>
        </w:rPr>
        <w:t>2</w:t>
      </w:r>
    </w:p>
    <w:p>
      <w:pPr>
        <w:jc w:val="center"/>
        <w:rPr>
          <w:rFonts w:ascii="宋体" w:hAnsi="宋体" w:cs="宋体"/>
          <w:b/>
          <w:bCs/>
          <w:sz w:val="32"/>
          <w:szCs w:val="32"/>
        </w:rPr>
      </w:pPr>
      <w:bookmarkStart w:id="471" w:name="_Hlk17733230"/>
      <w:r>
        <w:rPr>
          <w:rFonts w:hint="eastAsia" w:ascii="宋体" w:hAnsi="宋体" w:cs="宋体"/>
          <w:b/>
          <w:bCs/>
          <w:sz w:val="32"/>
          <w:szCs w:val="32"/>
        </w:rPr>
        <w:t>《</w:t>
      </w:r>
      <w:bookmarkStart w:id="472" w:name="_Hlk17707343"/>
      <w:r>
        <w:rPr>
          <w:rFonts w:hint="eastAsia" w:ascii="宋体" w:hAnsi="宋体" w:cs="宋体"/>
          <w:b/>
          <w:bCs/>
          <w:sz w:val="32"/>
          <w:szCs w:val="32"/>
        </w:rPr>
        <w:t>监狱企业声明函</w:t>
      </w:r>
      <w:bookmarkEnd w:id="472"/>
      <w:r>
        <w:rPr>
          <w:rFonts w:hint="eastAsia" w:ascii="宋体" w:hAnsi="宋体" w:cs="宋体"/>
          <w:b/>
          <w:bCs/>
          <w:sz w:val="32"/>
          <w:szCs w:val="32"/>
        </w:rPr>
        <w:t>》</w:t>
      </w:r>
    </w:p>
    <w:p>
      <w:pPr>
        <w:spacing w:line="360" w:lineRule="auto"/>
        <w:ind w:firstLine="475" w:firstLineChars="198"/>
        <w:rPr>
          <w:rFonts w:ascii="宋体" w:hAnsi="宋体" w:cs="宋体"/>
          <w:bCs/>
          <w:sz w:val="24"/>
        </w:rPr>
      </w:pPr>
      <w:r>
        <w:rPr>
          <w:rFonts w:hint="eastAsia" w:ascii="宋体" w:hAnsi="宋体" w:cs="宋体"/>
          <w:bCs/>
          <w:sz w:val="24"/>
        </w:rPr>
        <w:t>本公司郑重声明，根据《财政部司法部关于政府采购支持监狱企业发展有关问题的通知》（财库</w:t>
      </w:r>
      <w:r>
        <w:rPr>
          <w:rFonts w:hint="eastAsia" w:ascii="宋体" w:hAnsi="宋体" w:cs="宋体"/>
          <w:sz w:val="24"/>
        </w:rPr>
        <w:t>〔2014〕</w:t>
      </w:r>
      <w:r>
        <w:rPr>
          <w:rFonts w:hint="eastAsia" w:ascii="宋体" w:hAnsi="宋体" w:cs="宋体"/>
          <w:bCs/>
          <w:sz w:val="24"/>
        </w:rPr>
        <w:t>68号）的规定，本公司为</w:t>
      </w:r>
      <w:r>
        <w:rPr>
          <w:rFonts w:hint="eastAsia" w:ascii="宋体" w:hAnsi="宋体" w:cs="宋体"/>
          <w:bCs/>
          <w:sz w:val="24"/>
          <w:u w:val="single"/>
        </w:rPr>
        <w:t xml:space="preserve">        </w:t>
      </w:r>
      <w:r>
        <w:rPr>
          <w:rFonts w:hint="eastAsia" w:ascii="宋体" w:hAnsi="宋体" w:cs="宋体"/>
          <w:bCs/>
          <w:sz w:val="24"/>
        </w:rPr>
        <w:t>（请填写：监狱）企业。</w:t>
      </w:r>
    </w:p>
    <w:p>
      <w:pPr>
        <w:spacing w:line="360" w:lineRule="auto"/>
        <w:ind w:firstLine="235" w:firstLineChars="98"/>
        <w:rPr>
          <w:rFonts w:ascii="宋体" w:hAnsi="宋体" w:cs="宋体"/>
          <w:bCs/>
          <w:sz w:val="24"/>
        </w:rPr>
      </w:pPr>
      <w:r>
        <w:rPr>
          <w:rFonts w:hint="eastAsia" w:ascii="宋体" w:hAnsi="宋体" w:cs="宋体"/>
          <w:bCs/>
          <w:sz w:val="24"/>
        </w:rPr>
        <w:t xml:space="preserve">   本单位为符合条件的监狱企业，且本单位参加______单位的______项目采购活动提供本单位制造的货物（由本单位承担工程/提供服务）。</w:t>
      </w:r>
    </w:p>
    <w:p>
      <w:pPr>
        <w:spacing w:line="360" w:lineRule="auto"/>
        <w:ind w:firstLine="480" w:firstLineChars="200"/>
        <w:rPr>
          <w:rFonts w:ascii="宋体" w:hAnsi="宋体" w:cs="宋体"/>
          <w:bCs/>
          <w:sz w:val="24"/>
        </w:rPr>
      </w:pPr>
      <w:r>
        <w:rPr>
          <w:rFonts w:hint="eastAsia" w:ascii="宋体" w:hAnsi="宋体" w:cs="宋体"/>
          <w:bCs/>
          <w:sz w:val="24"/>
        </w:rPr>
        <w:t>本公司对上述声明的真实性负责，若有虚假，将依法承担相应责任。</w:t>
      </w:r>
    </w:p>
    <w:p>
      <w:pPr>
        <w:spacing w:line="360" w:lineRule="auto"/>
        <w:ind w:firstLine="480" w:firstLineChars="200"/>
        <w:rPr>
          <w:rFonts w:ascii="宋体" w:hAnsi="宋体" w:cs="宋体"/>
          <w:bCs/>
          <w:sz w:val="24"/>
        </w:rPr>
      </w:pPr>
    </w:p>
    <w:p>
      <w:pPr>
        <w:spacing w:line="360" w:lineRule="auto"/>
        <w:ind w:firstLine="480" w:firstLineChars="200"/>
        <w:rPr>
          <w:rFonts w:ascii="宋体" w:hAnsi="宋体" w:cs="宋体"/>
          <w:bCs/>
          <w:sz w:val="24"/>
        </w:rPr>
      </w:pPr>
    </w:p>
    <w:p>
      <w:pPr>
        <w:spacing w:line="360" w:lineRule="auto"/>
        <w:ind w:firstLine="235" w:firstLineChars="98"/>
        <w:jc w:val="right"/>
        <w:rPr>
          <w:rFonts w:ascii="宋体" w:hAnsi="宋体" w:cs="宋体"/>
          <w:bCs/>
          <w:sz w:val="24"/>
        </w:rPr>
      </w:pPr>
      <w:r>
        <w:rPr>
          <w:rFonts w:hint="eastAsia" w:ascii="宋体" w:hAnsi="宋体" w:cs="宋体"/>
          <w:bCs/>
          <w:sz w:val="24"/>
        </w:rPr>
        <w:t xml:space="preserve">  供应商名称</w:t>
      </w:r>
      <w:r>
        <w:rPr>
          <w:rFonts w:hint="eastAsia" w:ascii="宋体" w:hAnsi="宋体" w:cs="宋体"/>
          <w:bCs/>
          <w:sz w:val="24"/>
          <w:u w:val="single"/>
        </w:rPr>
        <w:t>：                （盖章）</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法定代表人或其法人授权委托人</w:t>
      </w:r>
      <w:r>
        <w:rPr>
          <w:rFonts w:hint="eastAsia" w:ascii="宋体" w:hAnsi="宋体" w:cs="宋体"/>
          <w:bCs/>
          <w:sz w:val="24"/>
          <w:u w:val="single"/>
        </w:rPr>
        <w:t>：       （签字或盖章）</w:t>
      </w:r>
    </w:p>
    <w:p>
      <w:pPr>
        <w:spacing w:line="360" w:lineRule="auto"/>
        <w:ind w:firstLine="235" w:firstLineChars="98"/>
        <w:jc w:val="right"/>
        <w:rPr>
          <w:rFonts w:ascii="宋体" w:hAnsi="宋体" w:cs="宋体"/>
          <w:bCs/>
          <w:sz w:val="24"/>
        </w:rPr>
      </w:pPr>
    </w:p>
    <w:p>
      <w:pPr>
        <w:spacing w:line="360" w:lineRule="auto"/>
        <w:ind w:firstLine="235" w:firstLineChars="98"/>
        <w:jc w:val="right"/>
        <w:rPr>
          <w:rFonts w:ascii="宋体" w:hAnsi="宋体" w:cs="宋体"/>
          <w:bCs/>
          <w:sz w:val="24"/>
        </w:rPr>
      </w:pPr>
      <w:r>
        <w:rPr>
          <w:rFonts w:hint="eastAsia" w:ascii="宋体" w:hAnsi="宋体" w:cs="宋体"/>
          <w:bCs/>
          <w:sz w:val="24"/>
        </w:rPr>
        <w:t xml:space="preserve">  日期：   年   月   日</w:t>
      </w:r>
    </w:p>
    <w:p>
      <w:pPr>
        <w:spacing w:line="360" w:lineRule="auto"/>
        <w:rPr>
          <w:rFonts w:ascii="宋体" w:hAnsi="宋体" w:cs="宋体"/>
          <w:b/>
          <w:sz w:val="24"/>
        </w:rPr>
      </w:pPr>
    </w:p>
    <w:bookmarkEnd w:id="471"/>
    <w:p>
      <w:pPr>
        <w:jc w:val="left"/>
        <w:rPr>
          <w:rFonts w:ascii="宋体" w:hAnsi="宋体" w:cs="宋体"/>
          <w:b/>
          <w:bCs/>
          <w:sz w:val="32"/>
          <w:szCs w:val="32"/>
        </w:rPr>
      </w:pPr>
    </w:p>
    <w:p>
      <w:pPr>
        <w:jc w:val="left"/>
        <w:rPr>
          <w:rFonts w:ascii="宋体" w:hAnsi="宋体" w:cs="宋体"/>
          <w:b/>
          <w:bCs/>
          <w:sz w:val="32"/>
          <w:szCs w:val="32"/>
        </w:rPr>
      </w:pPr>
      <w:r>
        <w:rPr>
          <w:rFonts w:hint="eastAsia" w:ascii="宋体" w:hAnsi="宋体" w:cs="宋体"/>
          <w:b/>
          <w:bCs/>
          <w:sz w:val="32"/>
          <w:szCs w:val="32"/>
        </w:rPr>
        <w:br w:type="page"/>
      </w:r>
      <w:r>
        <w:rPr>
          <w:rFonts w:hint="eastAsia" w:ascii="宋体" w:hAnsi="宋体" w:cs="宋体"/>
          <w:b/>
          <w:bCs/>
          <w:sz w:val="28"/>
          <w:szCs w:val="28"/>
        </w:rPr>
        <w:t>3</w:t>
      </w:r>
    </w:p>
    <w:p>
      <w:pPr>
        <w:jc w:val="center"/>
        <w:rPr>
          <w:rFonts w:ascii="宋体" w:hAnsi="宋体" w:cs="宋体"/>
          <w:b/>
          <w:bCs/>
          <w:sz w:val="32"/>
          <w:szCs w:val="32"/>
        </w:rPr>
      </w:pPr>
      <w:r>
        <w:rPr>
          <w:rFonts w:hint="eastAsia" w:ascii="宋体" w:hAnsi="宋体" w:cs="宋体"/>
          <w:b/>
          <w:bCs/>
          <w:sz w:val="32"/>
          <w:szCs w:val="32"/>
        </w:rPr>
        <w:t>《残疾人福利性单位声明函》</w:t>
      </w:r>
    </w:p>
    <w:p>
      <w:pPr>
        <w:pStyle w:val="17"/>
        <w:rPr>
          <w:rFonts w:cs="宋体"/>
          <w:bCs/>
          <w:sz w:val="32"/>
          <w:szCs w:val="32"/>
        </w:rPr>
      </w:pPr>
    </w:p>
    <w:p>
      <w:pPr>
        <w:rPr>
          <w:rFonts w:ascii="宋体" w:hAnsi="宋体" w:cs="宋体"/>
          <w:b/>
          <w:bCs/>
          <w:sz w:val="32"/>
          <w:szCs w:val="32"/>
        </w:rPr>
      </w:pPr>
    </w:p>
    <w:p>
      <w:pPr>
        <w:pStyle w:val="17"/>
      </w:pPr>
    </w:p>
    <w:p>
      <w:pPr>
        <w:spacing w:line="480" w:lineRule="auto"/>
        <w:ind w:firstLine="480" w:firstLineChars="200"/>
        <w:rPr>
          <w:rFonts w:ascii="宋体" w:hAnsi="宋体" w:cs="宋体"/>
          <w:bCs/>
          <w:sz w:val="24"/>
        </w:rPr>
      </w:pPr>
      <w:r>
        <w:rPr>
          <w:rFonts w:hint="eastAsia" w:ascii="宋体" w:hAnsi="宋体" w:cs="宋体"/>
          <w:bCs/>
          <w:sz w:val="24"/>
        </w:rPr>
        <w:t>本单位郑重声明，根据《财政部、民政部、中国残疾人联合会关于促进残疾人就业政府采购政策的通知》（财库〔2017〕141号）的规定，</w:t>
      </w:r>
      <w:bookmarkStart w:id="473" w:name="_Hlk17707165"/>
      <w:r>
        <w:rPr>
          <w:rFonts w:hint="eastAsia" w:ascii="宋体" w:hAnsi="宋体" w:cs="宋体"/>
          <w:bCs/>
          <w:sz w:val="24"/>
        </w:rPr>
        <w:t>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bookmarkEnd w:id="473"/>
    <w:p>
      <w:pPr>
        <w:spacing w:line="480" w:lineRule="auto"/>
        <w:ind w:firstLine="475" w:firstLineChars="198"/>
        <w:rPr>
          <w:rFonts w:ascii="宋体" w:hAnsi="宋体" w:cs="宋体"/>
          <w:bCs/>
          <w:sz w:val="24"/>
        </w:rPr>
      </w:pPr>
      <w:r>
        <w:rPr>
          <w:rFonts w:hint="eastAsia" w:ascii="宋体" w:hAnsi="宋体" w:cs="宋体"/>
          <w:bCs/>
          <w:sz w:val="24"/>
        </w:rPr>
        <w:t>本单位对上述声明的真实性负责。如有虚假，将依法承担相应责任。</w:t>
      </w:r>
    </w:p>
    <w:p>
      <w:pPr>
        <w:spacing w:line="588" w:lineRule="exact"/>
        <w:rPr>
          <w:rFonts w:ascii="宋体" w:hAnsi="宋体" w:cs="宋体"/>
          <w:b/>
          <w:bCs/>
          <w:spacing w:val="6"/>
          <w:sz w:val="30"/>
          <w:szCs w:val="30"/>
        </w:rPr>
      </w:pPr>
    </w:p>
    <w:p>
      <w:pPr>
        <w:spacing w:line="360" w:lineRule="auto"/>
        <w:ind w:firstLine="235" w:firstLineChars="98"/>
        <w:jc w:val="right"/>
        <w:rPr>
          <w:rFonts w:ascii="宋体" w:hAnsi="宋体" w:cs="宋体"/>
          <w:bCs/>
          <w:sz w:val="24"/>
        </w:rPr>
      </w:pPr>
      <w:r>
        <w:rPr>
          <w:rFonts w:hint="eastAsia" w:ascii="宋体" w:hAnsi="宋体" w:cs="宋体"/>
          <w:bCs/>
          <w:sz w:val="24"/>
        </w:rPr>
        <w:t xml:space="preserve">    供应商名称</w:t>
      </w:r>
      <w:r>
        <w:rPr>
          <w:rFonts w:hint="eastAsia" w:ascii="宋体" w:hAnsi="宋体" w:cs="宋体"/>
          <w:bCs/>
          <w:sz w:val="24"/>
          <w:u w:val="single"/>
        </w:rPr>
        <w:t>：                （盖章）</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w:t>
      </w:r>
    </w:p>
    <w:p>
      <w:pPr>
        <w:spacing w:line="360" w:lineRule="auto"/>
        <w:ind w:firstLine="235" w:firstLineChars="98"/>
        <w:jc w:val="right"/>
        <w:rPr>
          <w:rFonts w:ascii="宋体" w:hAnsi="宋体" w:cs="宋体"/>
          <w:bCs/>
          <w:sz w:val="24"/>
        </w:rPr>
      </w:pPr>
      <w:r>
        <w:rPr>
          <w:rFonts w:hint="eastAsia" w:ascii="宋体" w:hAnsi="宋体" w:cs="宋体"/>
          <w:bCs/>
          <w:sz w:val="24"/>
        </w:rPr>
        <w:t xml:space="preserve">  法定代表人或其法人授权委托人</w:t>
      </w:r>
      <w:r>
        <w:rPr>
          <w:rFonts w:hint="eastAsia" w:ascii="宋体" w:hAnsi="宋体" w:cs="宋体"/>
          <w:bCs/>
          <w:sz w:val="24"/>
          <w:u w:val="single"/>
        </w:rPr>
        <w:t>：       （签字或盖章）</w:t>
      </w:r>
    </w:p>
    <w:p>
      <w:pPr>
        <w:spacing w:line="360" w:lineRule="auto"/>
        <w:ind w:firstLine="235" w:firstLineChars="98"/>
        <w:jc w:val="right"/>
        <w:rPr>
          <w:rFonts w:ascii="宋体" w:hAnsi="宋体" w:cs="宋体"/>
          <w:bCs/>
          <w:kern w:val="0"/>
          <w:sz w:val="24"/>
        </w:rPr>
      </w:pPr>
    </w:p>
    <w:p>
      <w:pPr>
        <w:pStyle w:val="26"/>
      </w:pPr>
    </w:p>
    <w:p>
      <w:pPr>
        <w:pStyle w:val="26"/>
        <w:spacing w:line="360" w:lineRule="auto"/>
        <w:ind w:firstLine="4320" w:firstLineChars="1800"/>
        <w:rPr>
          <w:rFonts w:ascii="宋体" w:hAnsi="宋体" w:cs="宋体"/>
        </w:rPr>
      </w:pPr>
      <w:r>
        <w:rPr>
          <w:rFonts w:hint="eastAsia" w:ascii="宋体" w:hAnsi="宋体" w:cs="宋体"/>
          <w:bCs/>
          <w:sz w:val="24"/>
        </w:rPr>
        <w:t>日期：   年   月   日</w:t>
      </w:r>
    </w:p>
    <w:p>
      <w:pPr>
        <w:numPr>
          <w:ilvl w:val="0"/>
          <w:numId w:val="12"/>
        </w:numPr>
        <w:spacing w:line="360" w:lineRule="auto"/>
        <w:rPr>
          <w:rFonts w:ascii="宋体" w:hAnsi="宋体" w:cs="宋体"/>
          <w:sz w:val="24"/>
        </w:rPr>
        <w:sectPr>
          <w:pgSz w:w="11906" w:h="16838"/>
          <w:pgMar w:top="1418" w:right="1134" w:bottom="1418" w:left="1134" w:header="851" w:footer="992" w:gutter="0"/>
          <w:pgNumType w:fmt="decimal"/>
          <w:cols w:space="720" w:num="1"/>
          <w:titlePg/>
          <w:docGrid w:linePitch="312" w:charSpace="0"/>
        </w:sectPr>
      </w:pPr>
    </w:p>
    <w:p>
      <w:pPr>
        <w:pStyle w:val="3"/>
        <w:numPr>
          <w:ilvl w:val="0"/>
          <w:numId w:val="13"/>
        </w:numPr>
        <w:spacing w:line="360" w:lineRule="auto"/>
        <w:jc w:val="center"/>
        <w:rPr>
          <w:rFonts w:ascii="宋体" w:hAnsi="宋体" w:cs="宋体"/>
          <w:sz w:val="36"/>
        </w:rPr>
      </w:pPr>
      <w:r>
        <w:rPr>
          <w:rFonts w:hint="eastAsia" w:ascii="宋体" w:hAnsi="宋体" w:cs="宋体"/>
          <w:sz w:val="36"/>
        </w:rPr>
        <w:t xml:space="preserve">  </w:t>
      </w:r>
      <w:bookmarkStart w:id="474" w:name="_Toc22960"/>
      <w:bookmarkStart w:id="475" w:name="_Toc28149"/>
      <w:bookmarkStart w:id="476" w:name="_Toc22069"/>
      <w:bookmarkStart w:id="477" w:name="_Toc21833"/>
      <w:bookmarkStart w:id="478" w:name="_Toc28393"/>
      <w:bookmarkStart w:id="479" w:name="_Toc3816"/>
      <w:bookmarkStart w:id="480" w:name="_Toc22706"/>
      <w:bookmarkStart w:id="481" w:name="_Toc5526"/>
      <w:r>
        <w:rPr>
          <w:rFonts w:hint="eastAsia" w:ascii="宋体" w:hAnsi="宋体" w:cs="宋体"/>
          <w:sz w:val="36"/>
        </w:rPr>
        <w:t>采购内容及要求</w:t>
      </w:r>
      <w:bookmarkEnd w:id="474"/>
      <w:bookmarkEnd w:id="475"/>
      <w:bookmarkEnd w:id="476"/>
      <w:bookmarkEnd w:id="477"/>
      <w:bookmarkEnd w:id="478"/>
      <w:bookmarkEnd w:id="479"/>
      <w:bookmarkEnd w:id="480"/>
      <w:bookmarkEnd w:id="481"/>
    </w:p>
    <w:p>
      <w:pPr>
        <w:spacing w:line="360" w:lineRule="auto"/>
        <w:rPr>
          <w:rFonts w:cs="宋体" w:asciiTheme="minorEastAsia" w:hAnsiTheme="minorEastAsia" w:eastAsiaTheme="minorEastAsia"/>
          <w:b/>
          <w:sz w:val="28"/>
          <w:szCs w:val="28"/>
        </w:rPr>
      </w:pPr>
      <w:bookmarkStart w:id="482" w:name="_Toc6812"/>
      <w:bookmarkStart w:id="483" w:name="_Toc23688"/>
      <w:r>
        <w:rPr>
          <w:rFonts w:cs="宋体" w:asciiTheme="minorEastAsia" w:hAnsiTheme="minorEastAsia" w:eastAsiaTheme="minorEastAsia"/>
          <w:b/>
          <w:sz w:val="28"/>
          <w:szCs w:val="28"/>
        </w:rPr>
        <w:t>一</w:t>
      </w:r>
      <w:r>
        <w:rPr>
          <w:rFonts w:hint="eastAsia" w:cs="宋体" w:asciiTheme="minorEastAsia" w:hAnsiTheme="minorEastAsia" w:eastAsiaTheme="minorEastAsia"/>
          <w:b/>
          <w:sz w:val="28"/>
          <w:szCs w:val="28"/>
        </w:rPr>
        <w:t>、</w:t>
      </w:r>
      <w:r>
        <w:rPr>
          <w:rFonts w:cs="宋体" w:asciiTheme="minorEastAsia" w:hAnsiTheme="minorEastAsia" w:eastAsiaTheme="minorEastAsia"/>
          <w:b/>
          <w:sz w:val="28"/>
          <w:szCs w:val="28"/>
        </w:rPr>
        <w:t>采购项目内容</w:t>
      </w:r>
    </w:p>
    <w:p>
      <w:pPr>
        <w:pStyle w:val="26"/>
        <w:spacing w:line="360" w:lineRule="auto"/>
        <w:rPr>
          <w:rFonts w:hint="eastAsia" w:ascii="宋体" w:hAnsi="宋体" w:cs="宋体"/>
          <w:bCs/>
          <w:sz w:val="24"/>
        </w:rPr>
      </w:pPr>
      <w:r>
        <w:rPr>
          <w:rFonts w:hint="eastAsia" w:ascii="宋体" w:hAnsi="宋体" w:cs="宋体"/>
          <w:bCs/>
          <w:sz w:val="24"/>
        </w:rPr>
        <w:t>1．安装服务</w:t>
      </w:r>
    </w:p>
    <w:p>
      <w:pPr>
        <w:pStyle w:val="26"/>
        <w:spacing w:line="360" w:lineRule="auto"/>
        <w:rPr>
          <w:rFonts w:hint="eastAsia" w:ascii="宋体" w:hAnsi="宋体" w:cs="宋体"/>
          <w:bCs/>
          <w:sz w:val="24"/>
        </w:rPr>
      </w:pPr>
      <w:r>
        <w:rPr>
          <w:rFonts w:hint="eastAsia" w:ascii="宋体" w:hAnsi="宋体" w:cs="宋体"/>
          <w:bCs/>
          <w:sz w:val="24"/>
        </w:rPr>
        <w:t>（1）学校提供场地，中标单位免费提供充电桩，安装到位并提供日常维保服务。</w:t>
      </w:r>
    </w:p>
    <w:p>
      <w:pPr>
        <w:pStyle w:val="26"/>
        <w:spacing w:line="360" w:lineRule="auto"/>
        <w:rPr>
          <w:rFonts w:hint="eastAsia" w:ascii="宋体" w:hAnsi="宋体" w:cs="宋体"/>
          <w:bCs/>
          <w:sz w:val="24"/>
        </w:rPr>
      </w:pPr>
      <w:r>
        <w:rPr>
          <w:rFonts w:hint="eastAsia" w:ascii="宋体" w:hAnsi="宋体" w:cs="宋体"/>
          <w:bCs/>
          <w:sz w:val="24"/>
        </w:rPr>
        <w:t>（2）为校区安装不少于80个充电插头的充电设备；为家属区安装不少于40个充电插头的充电设备（根据车棚实际情况，单侧全部布满）。</w:t>
      </w:r>
    </w:p>
    <w:p>
      <w:pPr>
        <w:pStyle w:val="26"/>
        <w:spacing w:line="360" w:lineRule="auto"/>
        <w:rPr>
          <w:rFonts w:hint="eastAsia" w:ascii="宋体" w:hAnsi="宋体" w:cs="宋体"/>
          <w:bCs/>
          <w:sz w:val="24"/>
        </w:rPr>
      </w:pPr>
      <w:r>
        <w:rPr>
          <w:rFonts w:hint="eastAsia" w:ascii="宋体" w:hAnsi="宋体" w:cs="宋体"/>
          <w:bCs/>
          <w:sz w:val="24"/>
        </w:rPr>
        <w:t>（3）为车棚配备必要的消防设备。</w:t>
      </w:r>
    </w:p>
    <w:p>
      <w:pPr>
        <w:pStyle w:val="26"/>
        <w:spacing w:line="360" w:lineRule="auto"/>
        <w:rPr>
          <w:rFonts w:hint="eastAsia" w:ascii="宋体" w:hAnsi="宋体" w:cs="宋体"/>
          <w:bCs/>
          <w:sz w:val="24"/>
        </w:rPr>
      </w:pPr>
      <w:r>
        <w:rPr>
          <w:rFonts w:hint="eastAsia" w:ascii="宋体" w:hAnsi="宋体" w:cs="宋体"/>
          <w:bCs/>
          <w:sz w:val="24"/>
        </w:rPr>
        <w:t>2. 维保服务</w:t>
      </w:r>
    </w:p>
    <w:p>
      <w:pPr>
        <w:pStyle w:val="26"/>
        <w:spacing w:line="360" w:lineRule="auto"/>
        <w:rPr>
          <w:rFonts w:hint="eastAsia" w:ascii="宋体" w:hAnsi="宋体" w:cs="宋体"/>
          <w:bCs/>
          <w:sz w:val="24"/>
        </w:rPr>
      </w:pPr>
      <w:r>
        <w:rPr>
          <w:rFonts w:hint="eastAsia" w:ascii="宋体" w:hAnsi="宋体" w:cs="宋体"/>
          <w:bCs/>
          <w:sz w:val="24"/>
        </w:rPr>
        <w:t>（1）每月不少于一次对所有充电桩主板、插座、线路等检修，确保设备安全、正常运行。</w:t>
      </w:r>
    </w:p>
    <w:p>
      <w:pPr>
        <w:pStyle w:val="26"/>
        <w:spacing w:line="360" w:lineRule="auto"/>
      </w:pPr>
      <w:r>
        <w:rPr>
          <w:rFonts w:hint="eastAsia" w:ascii="宋体" w:hAnsi="宋体" w:cs="宋体"/>
          <w:bCs/>
          <w:sz w:val="24"/>
        </w:rPr>
        <w:t>（2）接到故障报修，12小时之内到场并解决问题。</w:t>
      </w:r>
    </w:p>
    <w:p>
      <w:pPr>
        <w:spacing w:line="360" w:lineRule="auto"/>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二、采购标的需满足的要求</w:t>
      </w:r>
    </w:p>
    <w:bookmarkEnd w:id="482"/>
    <w:bookmarkEnd w:id="483"/>
    <w:p>
      <w:pPr>
        <w:spacing w:line="360" w:lineRule="auto"/>
        <w:rPr>
          <w:rFonts w:hint="eastAsia" w:ascii="宋体" w:hAnsi="宋体" w:cs="宋体"/>
          <w:bCs/>
          <w:sz w:val="24"/>
        </w:rPr>
      </w:pPr>
      <w:r>
        <w:rPr>
          <w:rFonts w:hint="eastAsia" w:ascii="宋体" w:hAnsi="宋体" w:cs="宋体"/>
          <w:bCs/>
          <w:sz w:val="24"/>
        </w:rPr>
        <w:t>1. 电费收取</w:t>
      </w:r>
    </w:p>
    <w:p>
      <w:pPr>
        <w:spacing w:line="360" w:lineRule="auto"/>
        <w:ind w:firstLine="480" w:firstLineChars="200"/>
        <w:rPr>
          <w:rFonts w:hint="eastAsia" w:ascii="宋体" w:hAnsi="宋体" w:cs="宋体"/>
          <w:bCs/>
          <w:sz w:val="24"/>
        </w:rPr>
      </w:pPr>
      <w:r>
        <w:rPr>
          <w:rFonts w:hint="eastAsia" w:ascii="宋体" w:hAnsi="宋体" w:cs="宋体"/>
          <w:bCs/>
          <w:sz w:val="24"/>
        </w:rPr>
        <w:t>充电桩电费执行供电局收费标准，目前是0.5109元/度，后期随供电局电费标准的变化而调整，每学期收取一次。</w:t>
      </w:r>
    </w:p>
    <w:p>
      <w:pPr>
        <w:spacing w:line="360" w:lineRule="auto"/>
        <w:rPr>
          <w:rFonts w:hint="eastAsia" w:ascii="宋体" w:hAnsi="宋体" w:cs="宋体"/>
          <w:bCs/>
          <w:sz w:val="24"/>
        </w:rPr>
      </w:pPr>
      <w:r>
        <w:rPr>
          <w:rFonts w:hint="eastAsia" w:ascii="宋体" w:hAnsi="宋体" w:cs="宋体"/>
          <w:bCs/>
          <w:sz w:val="24"/>
          <w:lang w:val="en-US" w:eastAsia="zh-CN"/>
        </w:rPr>
        <w:t>2.</w:t>
      </w:r>
      <w:r>
        <w:rPr>
          <w:rFonts w:hint="eastAsia" w:ascii="宋体" w:hAnsi="宋体" w:cs="宋体"/>
          <w:bCs/>
          <w:sz w:val="24"/>
        </w:rPr>
        <w:t>预存费用</w:t>
      </w:r>
    </w:p>
    <w:p>
      <w:pPr>
        <w:spacing w:line="360" w:lineRule="auto"/>
        <w:ind w:firstLine="480" w:firstLineChars="200"/>
        <w:rPr>
          <w:rFonts w:hint="eastAsia" w:ascii="宋体" w:hAnsi="宋体" w:cs="宋体"/>
          <w:bCs/>
          <w:sz w:val="24"/>
        </w:rPr>
      </w:pPr>
      <w:r>
        <w:rPr>
          <w:rFonts w:hint="eastAsia" w:ascii="宋体" w:hAnsi="宋体" w:cs="宋体"/>
          <w:bCs/>
          <w:sz w:val="24"/>
        </w:rPr>
        <w:t>不高于10元。</w:t>
      </w:r>
    </w:p>
    <w:p>
      <w:pPr>
        <w:spacing w:line="360" w:lineRule="auto"/>
        <w:rPr>
          <w:rFonts w:hint="eastAsia" w:ascii="宋体" w:hAnsi="宋体" w:cs="宋体"/>
          <w:bCs/>
          <w:sz w:val="24"/>
        </w:rPr>
      </w:pPr>
      <w:r>
        <w:rPr>
          <w:rFonts w:hint="eastAsia" w:ascii="宋体" w:hAnsi="宋体" w:cs="宋体"/>
          <w:bCs/>
          <w:sz w:val="24"/>
          <w:lang w:val="en-US" w:eastAsia="zh-CN"/>
        </w:rPr>
        <w:t>3.</w:t>
      </w:r>
      <w:r>
        <w:rPr>
          <w:rFonts w:hint="eastAsia" w:ascii="宋体" w:hAnsi="宋体" w:cs="宋体"/>
          <w:bCs/>
          <w:sz w:val="24"/>
        </w:rPr>
        <w:t>充电费用</w:t>
      </w:r>
    </w:p>
    <w:p>
      <w:pPr>
        <w:spacing w:line="360" w:lineRule="auto"/>
        <w:ind w:firstLine="480" w:firstLineChars="200"/>
        <w:rPr>
          <w:rFonts w:hint="eastAsia" w:ascii="宋体" w:hAnsi="宋体" w:cs="宋体"/>
          <w:bCs/>
          <w:sz w:val="24"/>
        </w:rPr>
      </w:pPr>
      <w:r>
        <w:rPr>
          <w:rFonts w:hint="eastAsia" w:ascii="宋体" w:hAnsi="宋体" w:cs="宋体"/>
          <w:bCs/>
          <w:sz w:val="24"/>
        </w:rPr>
        <w:t>因收益归中标单位，学校希望将充电单价降到最低，不高于 0.25元/时，让老师们充分享受实惠。</w:t>
      </w:r>
    </w:p>
    <w:p>
      <w:pPr>
        <w:spacing w:line="360" w:lineRule="auto"/>
        <w:rPr>
          <w:rFonts w:ascii="宋体" w:hAnsi="宋体" w:cs="宋体"/>
          <w:b/>
          <w:color w:val="000000" w:themeColor="text1"/>
          <w:sz w:val="24"/>
          <w:szCs w:val="24"/>
          <w14:textFill>
            <w14:solidFill>
              <w14:schemeClr w14:val="tx1"/>
            </w14:solidFill>
          </w14:textFill>
        </w:rPr>
      </w:pPr>
      <w:r>
        <w:rPr>
          <w:rFonts w:ascii="宋体" w:hAnsi="宋体" w:cs="宋体"/>
          <w:b/>
          <w:color w:val="000000" w:themeColor="text1"/>
          <w:sz w:val="24"/>
          <w:szCs w:val="24"/>
          <w14:textFill>
            <w14:solidFill>
              <w14:schemeClr w14:val="tx1"/>
            </w14:solidFill>
          </w14:textFill>
        </w:rPr>
        <w:t>三</w:t>
      </w:r>
      <w:r>
        <w:rPr>
          <w:rFonts w:hint="eastAsia" w:ascii="宋体" w:hAnsi="宋体" w:cs="宋体"/>
          <w:b/>
          <w:color w:val="000000" w:themeColor="text1"/>
          <w:sz w:val="24"/>
          <w:szCs w:val="24"/>
          <w14:textFill>
            <w14:solidFill>
              <w14:schemeClr w14:val="tx1"/>
            </w14:solidFill>
          </w14:textFill>
        </w:rPr>
        <w:t>、</w:t>
      </w:r>
      <w:r>
        <w:rPr>
          <w:rFonts w:ascii="宋体" w:hAnsi="宋体" w:cs="宋体"/>
          <w:b/>
          <w:color w:val="000000" w:themeColor="text1"/>
          <w:sz w:val="24"/>
          <w:szCs w:val="24"/>
          <w14:textFill>
            <w14:solidFill>
              <w14:schemeClr w14:val="tx1"/>
            </w14:solidFill>
          </w14:textFill>
        </w:rPr>
        <w:t>其他需要说明的问题</w:t>
      </w:r>
    </w:p>
    <w:p>
      <w:pPr>
        <w:pStyle w:val="50"/>
        <w:spacing w:before="156" w:after="156" w:line="360" w:lineRule="auto"/>
        <w:ind w:left="0" w:leftChars="0" w:firstLine="480" w:firstLineChars="200"/>
      </w:pPr>
      <w:r>
        <w:rPr>
          <w:rFonts w:hint="eastAsia" w:ascii="宋体" w:hAnsi="宋体" w:cs="宋体"/>
          <w:bCs/>
          <w:sz w:val="24"/>
        </w:rPr>
        <w:t>本服务合同有效期为五年。</w:t>
      </w:r>
    </w:p>
    <w:p>
      <w:pPr>
        <w:pStyle w:val="26"/>
        <w:spacing w:line="360" w:lineRule="auto"/>
        <w:rPr>
          <w:rFonts w:ascii="宋体" w:hAnsi="宋体" w:cs="宋体"/>
          <w:sz w:val="24"/>
          <w:szCs w:val="20"/>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font-weight : 400">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汉仪楷体简">
    <w:altName w:val="宋体"/>
    <w:panose1 w:val="00000000000000000000"/>
    <w:charset w:val="86"/>
    <w:family w:val="modern"/>
    <w:pitch w:val="default"/>
    <w:sig w:usb0="00000000" w:usb1="00000000" w:usb2="00000012" w:usb3="00000000" w:csb0="00040000" w:csb1="00000000"/>
  </w:font>
  <w:font w:name="Tahoma">
    <w:panose1 w:val="020B0604030504040204"/>
    <w:charset w:val="00"/>
    <w:family w:val="swiss"/>
    <w:pitch w:val="default"/>
    <w:sig w:usb0="E1002EFF" w:usb1="C000605B" w:usb2="00000029" w:usb3="00000000" w:csb0="200101FF" w:csb1="20280000"/>
  </w:font>
  <w:font w:name="汉仪魏碑简">
    <w:altName w:val="宋体"/>
    <w:panose1 w:val="00000000000000000000"/>
    <w:charset w:val="86"/>
    <w:family w:val="modern"/>
    <w:pitch w:val="default"/>
    <w:sig w:usb0="00000000" w:usb1="00000000" w:usb2="00000012" w:usb3="00000000" w:csb0="00040000" w:csb1="00000000"/>
  </w:font>
  <w:font w:name="汉仪中黑简">
    <w:altName w:val="黑体"/>
    <w:panose1 w:val="00000000000000000000"/>
    <w:charset w:val="86"/>
    <w:family w:val="modern"/>
    <w:pitch w:val="default"/>
    <w:sig w:usb0="00000000" w:usb1="00000000" w:usb2="00000012" w:usb3="00000000" w:csb0="00040000" w:csb1="00000000"/>
  </w:font>
  <w:font w:name="Century Gothic">
    <w:panose1 w:val="020B0502020202020204"/>
    <w:charset w:val="00"/>
    <w:family w:val="swiss"/>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5"/>
      </w:rPr>
    </w:pPr>
    <w:r>
      <w:fldChar w:fldCharType="begin"/>
    </w:r>
    <w:r>
      <w:rPr>
        <w:rStyle w:val="45"/>
      </w:rPr>
      <w:instrText xml:space="preserve">PAGE  </w:instrText>
    </w:r>
    <w:r>
      <w:fldChar w:fldCharType="end"/>
    </w:r>
  </w:p>
  <w:p>
    <w:pPr>
      <w:pStyle w:val="2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6"/>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46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29E142"/>
    <w:multiLevelType w:val="singleLevel"/>
    <w:tmpl w:val="D029E142"/>
    <w:lvl w:ilvl="0" w:tentative="0">
      <w:start w:val="1"/>
      <w:numFmt w:val="decimal"/>
      <w:suff w:val="space"/>
      <w:lvlText w:val="%1."/>
      <w:lvlJc w:val="left"/>
    </w:lvl>
  </w:abstractNum>
  <w:abstractNum w:abstractNumId="1">
    <w:nsid w:val="F0E237B3"/>
    <w:multiLevelType w:val="singleLevel"/>
    <w:tmpl w:val="F0E237B3"/>
    <w:lvl w:ilvl="0" w:tentative="0">
      <w:start w:val="1"/>
      <w:numFmt w:val="decimal"/>
      <w:lvlText w:val="(%1)"/>
      <w:lvlJc w:val="left"/>
      <w:pPr>
        <w:ind w:left="425" w:hanging="425"/>
      </w:pPr>
      <w:rPr>
        <w:rFonts w:hint="default"/>
      </w:rPr>
    </w:lvl>
  </w:abstractNum>
  <w:abstractNum w:abstractNumId="2">
    <w:nsid w:val="00000003"/>
    <w:multiLevelType w:val="singleLevel"/>
    <w:tmpl w:val="00000003"/>
    <w:lvl w:ilvl="0" w:tentative="0">
      <w:start w:val="1"/>
      <w:numFmt w:val="decimal"/>
      <w:suff w:val="nothing"/>
      <w:lvlText w:val="%1、"/>
      <w:lvlJc w:val="left"/>
    </w:lvl>
  </w:abstractNum>
  <w:abstractNum w:abstractNumId="3">
    <w:nsid w:val="0CBE8777"/>
    <w:multiLevelType w:val="singleLevel"/>
    <w:tmpl w:val="0CBE8777"/>
    <w:lvl w:ilvl="0" w:tentative="0">
      <w:start w:val="6"/>
      <w:numFmt w:val="chineseCounting"/>
      <w:suff w:val="space"/>
      <w:lvlText w:val="第%1部分"/>
      <w:lvlJc w:val="left"/>
      <w:rPr>
        <w:rFonts w:hint="eastAsia"/>
      </w:rPr>
    </w:lvl>
  </w:abstractNum>
  <w:abstractNum w:abstractNumId="4">
    <w:nsid w:val="34F7733C"/>
    <w:multiLevelType w:val="singleLevel"/>
    <w:tmpl w:val="34F7733C"/>
    <w:lvl w:ilvl="0" w:tentative="0">
      <w:start w:val="1"/>
      <w:numFmt w:val="decimal"/>
      <w:lvlText w:val="(%1)"/>
      <w:lvlJc w:val="left"/>
      <w:pPr>
        <w:ind w:left="425" w:hanging="425"/>
      </w:pPr>
      <w:rPr>
        <w:rFonts w:hint="default"/>
      </w:rPr>
    </w:lvl>
  </w:abstractNum>
  <w:abstractNum w:abstractNumId="5">
    <w:nsid w:val="38B3C7B5"/>
    <w:multiLevelType w:val="singleLevel"/>
    <w:tmpl w:val="38B3C7B5"/>
    <w:lvl w:ilvl="0" w:tentative="0">
      <w:start w:val="1"/>
      <w:numFmt w:val="decimal"/>
      <w:suff w:val="nothing"/>
      <w:lvlText w:val="%1、"/>
      <w:lvlJc w:val="left"/>
    </w:lvl>
  </w:abstractNum>
  <w:abstractNum w:abstractNumId="6">
    <w:nsid w:val="42F91761"/>
    <w:multiLevelType w:val="multilevel"/>
    <w:tmpl w:val="42F91761"/>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30"/>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
    <w:nsid w:val="5BC5E5EA"/>
    <w:multiLevelType w:val="singleLevel"/>
    <w:tmpl w:val="5BC5E5EA"/>
    <w:lvl w:ilvl="0" w:tentative="0">
      <w:start w:val="1"/>
      <w:numFmt w:val="decimal"/>
      <w:suff w:val="nothing"/>
      <w:lvlText w:val="%1、"/>
      <w:lvlJc w:val="left"/>
    </w:lvl>
  </w:abstractNum>
  <w:abstractNum w:abstractNumId="8">
    <w:nsid w:val="64F40076"/>
    <w:multiLevelType w:val="singleLevel"/>
    <w:tmpl w:val="64F40076"/>
    <w:lvl w:ilvl="0" w:tentative="0">
      <w:start w:val="1"/>
      <w:numFmt w:val="decimal"/>
      <w:suff w:val="space"/>
      <w:lvlText w:val="%1."/>
      <w:lvlJc w:val="left"/>
    </w:lvl>
  </w:abstractNum>
  <w:abstractNum w:abstractNumId="9">
    <w:nsid w:val="64F40A73"/>
    <w:multiLevelType w:val="singleLevel"/>
    <w:tmpl w:val="64F40A73"/>
    <w:lvl w:ilvl="0" w:tentative="0">
      <w:start w:val="1"/>
      <w:numFmt w:val="decimal"/>
      <w:suff w:val="nothing"/>
      <w:lvlText w:val="%1."/>
      <w:lvlJc w:val="left"/>
    </w:lvl>
  </w:abstractNum>
  <w:abstractNum w:abstractNumId="10">
    <w:nsid w:val="64F40D81"/>
    <w:multiLevelType w:val="singleLevel"/>
    <w:tmpl w:val="64F40D81"/>
    <w:lvl w:ilvl="0" w:tentative="0">
      <w:start w:val="1"/>
      <w:numFmt w:val="decimal"/>
      <w:suff w:val="space"/>
      <w:lvlText w:val="%1."/>
      <w:lvlJc w:val="left"/>
    </w:lvl>
  </w:abstractNum>
  <w:abstractNum w:abstractNumId="11">
    <w:nsid w:val="75E97C5B"/>
    <w:multiLevelType w:val="singleLevel"/>
    <w:tmpl w:val="75E97C5B"/>
    <w:lvl w:ilvl="0" w:tentative="0">
      <w:start w:val="5"/>
      <w:numFmt w:val="chineseCounting"/>
      <w:suff w:val="space"/>
      <w:lvlText w:val="第%1部分"/>
      <w:lvlJc w:val="left"/>
      <w:rPr>
        <w:rFonts w:hint="eastAsia"/>
      </w:rPr>
    </w:lvl>
  </w:abstractNum>
  <w:abstractNum w:abstractNumId="12">
    <w:nsid w:val="77C5B803"/>
    <w:multiLevelType w:val="singleLevel"/>
    <w:tmpl w:val="77C5B803"/>
    <w:lvl w:ilvl="0" w:tentative="0">
      <w:start w:val="3"/>
      <w:numFmt w:val="chineseCounting"/>
      <w:suff w:val="nothing"/>
      <w:lvlText w:val="%1、"/>
      <w:lvlJc w:val="left"/>
      <w:rPr>
        <w:rFonts w:hint="eastAsia"/>
      </w:rPr>
    </w:lvl>
  </w:abstractNum>
  <w:num w:numId="1">
    <w:abstractNumId w:val="6"/>
  </w:num>
  <w:num w:numId="2">
    <w:abstractNumId w:val="1"/>
  </w:num>
  <w:num w:numId="3">
    <w:abstractNumId w:val="12"/>
  </w:num>
  <w:num w:numId="4">
    <w:abstractNumId w:val="4"/>
  </w:num>
  <w:num w:numId="5">
    <w:abstractNumId w:val="8"/>
  </w:num>
  <w:num w:numId="6">
    <w:abstractNumId w:val="10"/>
  </w:num>
  <w:num w:numId="7">
    <w:abstractNumId w:val="9"/>
  </w:num>
  <w:num w:numId="8">
    <w:abstractNumId w:val="11"/>
  </w:num>
  <w:num w:numId="9">
    <w:abstractNumId w:val="5"/>
  </w:num>
  <w:num w:numId="10">
    <w:abstractNumId w:val="2"/>
  </w:num>
  <w:num w:numId="11">
    <w:abstractNumId w:val="0"/>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YWYxMzA2ZGRmNGNlMDdmOTI4MWI1NjhkMzM3NGIifQ=="/>
  </w:docVars>
  <w:rsids>
    <w:rsidRoot w:val="00F83C48"/>
    <w:rsid w:val="00003D17"/>
    <w:rsid w:val="000047B9"/>
    <w:rsid w:val="00004F14"/>
    <w:rsid w:val="000054B2"/>
    <w:rsid w:val="00007393"/>
    <w:rsid w:val="00014208"/>
    <w:rsid w:val="00015513"/>
    <w:rsid w:val="00017594"/>
    <w:rsid w:val="000224A7"/>
    <w:rsid w:val="000256C3"/>
    <w:rsid w:val="00026847"/>
    <w:rsid w:val="000302AE"/>
    <w:rsid w:val="000331EE"/>
    <w:rsid w:val="00036534"/>
    <w:rsid w:val="000379F2"/>
    <w:rsid w:val="00042EC9"/>
    <w:rsid w:val="00043105"/>
    <w:rsid w:val="00043C2F"/>
    <w:rsid w:val="00052873"/>
    <w:rsid w:val="00054339"/>
    <w:rsid w:val="00060D74"/>
    <w:rsid w:val="000621B8"/>
    <w:rsid w:val="000623C2"/>
    <w:rsid w:val="000702E2"/>
    <w:rsid w:val="000706F3"/>
    <w:rsid w:val="000760E2"/>
    <w:rsid w:val="00077608"/>
    <w:rsid w:val="00077933"/>
    <w:rsid w:val="00077939"/>
    <w:rsid w:val="00080A6B"/>
    <w:rsid w:val="00081406"/>
    <w:rsid w:val="000818FE"/>
    <w:rsid w:val="00081FEE"/>
    <w:rsid w:val="0008320C"/>
    <w:rsid w:val="000902BB"/>
    <w:rsid w:val="000906B3"/>
    <w:rsid w:val="00090EC7"/>
    <w:rsid w:val="000930F1"/>
    <w:rsid w:val="00097A5A"/>
    <w:rsid w:val="000A3DAD"/>
    <w:rsid w:val="000A50F7"/>
    <w:rsid w:val="000A65BD"/>
    <w:rsid w:val="000B07C4"/>
    <w:rsid w:val="000B4EBF"/>
    <w:rsid w:val="000B4F10"/>
    <w:rsid w:val="000B5B82"/>
    <w:rsid w:val="000C77D6"/>
    <w:rsid w:val="000D21E3"/>
    <w:rsid w:val="000D2E90"/>
    <w:rsid w:val="000D34BB"/>
    <w:rsid w:val="000D35DC"/>
    <w:rsid w:val="000D3A57"/>
    <w:rsid w:val="000D5150"/>
    <w:rsid w:val="000E05AC"/>
    <w:rsid w:val="000E079D"/>
    <w:rsid w:val="000E1A68"/>
    <w:rsid w:val="000E2988"/>
    <w:rsid w:val="000E7CE0"/>
    <w:rsid w:val="000F1C0F"/>
    <w:rsid w:val="000F2353"/>
    <w:rsid w:val="000F2FD6"/>
    <w:rsid w:val="000F5AFF"/>
    <w:rsid w:val="001044CC"/>
    <w:rsid w:val="00110163"/>
    <w:rsid w:val="00110591"/>
    <w:rsid w:val="00117577"/>
    <w:rsid w:val="001179A3"/>
    <w:rsid w:val="001214E7"/>
    <w:rsid w:val="00130196"/>
    <w:rsid w:val="00131BC2"/>
    <w:rsid w:val="001334B1"/>
    <w:rsid w:val="00134470"/>
    <w:rsid w:val="00135705"/>
    <w:rsid w:val="0013648C"/>
    <w:rsid w:val="001431C2"/>
    <w:rsid w:val="00150A85"/>
    <w:rsid w:val="0015280E"/>
    <w:rsid w:val="00152E39"/>
    <w:rsid w:val="00154F1B"/>
    <w:rsid w:val="00161548"/>
    <w:rsid w:val="00162165"/>
    <w:rsid w:val="0016360E"/>
    <w:rsid w:val="001640D8"/>
    <w:rsid w:val="00165534"/>
    <w:rsid w:val="00166EB1"/>
    <w:rsid w:val="00167BD2"/>
    <w:rsid w:val="00176181"/>
    <w:rsid w:val="001800B9"/>
    <w:rsid w:val="00184D6B"/>
    <w:rsid w:val="001862CD"/>
    <w:rsid w:val="00187A23"/>
    <w:rsid w:val="00190452"/>
    <w:rsid w:val="0019202C"/>
    <w:rsid w:val="00195B70"/>
    <w:rsid w:val="001A0410"/>
    <w:rsid w:val="001A5CE7"/>
    <w:rsid w:val="001A72A1"/>
    <w:rsid w:val="001A7DE8"/>
    <w:rsid w:val="001B0F01"/>
    <w:rsid w:val="001B3552"/>
    <w:rsid w:val="001B4CEB"/>
    <w:rsid w:val="001B7CAE"/>
    <w:rsid w:val="001C0297"/>
    <w:rsid w:val="001C0F13"/>
    <w:rsid w:val="001C2191"/>
    <w:rsid w:val="001C45CF"/>
    <w:rsid w:val="001C4B84"/>
    <w:rsid w:val="001C4C04"/>
    <w:rsid w:val="001D042F"/>
    <w:rsid w:val="001D0938"/>
    <w:rsid w:val="001D4D89"/>
    <w:rsid w:val="001E07D1"/>
    <w:rsid w:val="001E2F71"/>
    <w:rsid w:val="001E43D1"/>
    <w:rsid w:val="001E43F7"/>
    <w:rsid w:val="001E4529"/>
    <w:rsid w:val="001E54AD"/>
    <w:rsid w:val="001E72FF"/>
    <w:rsid w:val="001F1173"/>
    <w:rsid w:val="001F27EB"/>
    <w:rsid w:val="001F45F6"/>
    <w:rsid w:val="001F7743"/>
    <w:rsid w:val="001F79FD"/>
    <w:rsid w:val="00202402"/>
    <w:rsid w:val="00203674"/>
    <w:rsid w:val="00205D52"/>
    <w:rsid w:val="00205E0B"/>
    <w:rsid w:val="00212A4A"/>
    <w:rsid w:val="00212A95"/>
    <w:rsid w:val="00213439"/>
    <w:rsid w:val="00217EDE"/>
    <w:rsid w:val="00217F21"/>
    <w:rsid w:val="00222780"/>
    <w:rsid w:val="00232537"/>
    <w:rsid w:val="00234C47"/>
    <w:rsid w:val="00240572"/>
    <w:rsid w:val="00241B0B"/>
    <w:rsid w:val="00241F9D"/>
    <w:rsid w:val="00242261"/>
    <w:rsid w:val="002424CE"/>
    <w:rsid w:val="002436A3"/>
    <w:rsid w:val="0024387A"/>
    <w:rsid w:val="002442C6"/>
    <w:rsid w:val="00244ADE"/>
    <w:rsid w:val="00246622"/>
    <w:rsid w:val="002470FD"/>
    <w:rsid w:val="00250C2B"/>
    <w:rsid w:val="00253669"/>
    <w:rsid w:val="002545A9"/>
    <w:rsid w:val="002574A8"/>
    <w:rsid w:val="00260D57"/>
    <w:rsid w:val="002667C3"/>
    <w:rsid w:val="00267995"/>
    <w:rsid w:val="00274E5B"/>
    <w:rsid w:val="0027635F"/>
    <w:rsid w:val="00277448"/>
    <w:rsid w:val="00280C43"/>
    <w:rsid w:val="00282582"/>
    <w:rsid w:val="002833C1"/>
    <w:rsid w:val="00284588"/>
    <w:rsid w:val="002851FD"/>
    <w:rsid w:val="002914BD"/>
    <w:rsid w:val="00292187"/>
    <w:rsid w:val="00294838"/>
    <w:rsid w:val="00295A02"/>
    <w:rsid w:val="002A05E8"/>
    <w:rsid w:val="002A112E"/>
    <w:rsid w:val="002A1A97"/>
    <w:rsid w:val="002A452F"/>
    <w:rsid w:val="002B08F3"/>
    <w:rsid w:val="002B100A"/>
    <w:rsid w:val="002B3ACE"/>
    <w:rsid w:val="002B41B8"/>
    <w:rsid w:val="002B48CC"/>
    <w:rsid w:val="002B531A"/>
    <w:rsid w:val="002B7063"/>
    <w:rsid w:val="002C0214"/>
    <w:rsid w:val="002C057E"/>
    <w:rsid w:val="002C0DF4"/>
    <w:rsid w:val="002C6396"/>
    <w:rsid w:val="002C70F3"/>
    <w:rsid w:val="002D2EB9"/>
    <w:rsid w:val="002D5AC8"/>
    <w:rsid w:val="002E15DB"/>
    <w:rsid w:val="002E201A"/>
    <w:rsid w:val="002E309F"/>
    <w:rsid w:val="002E36DF"/>
    <w:rsid w:val="002E5939"/>
    <w:rsid w:val="002E5A7D"/>
    <w:rsid w:val="002E5E10"/>
    <w:rsid w:val="002E61F9"/>
    <w:rsid w:val="002E7CDA"/>
    <w:rsid w:val="002F000A"/>
    <w:rsid w:val="002F1DB4"/>
    <w:rsid w:val="002F6730"/>
    <w:rsid w:val="002F68C4"/>
    <w:rsid w:val="002F6B0B"/>
    <w:rsid w:val="00304858"/>
    <w:rsid w:val="00306206"/>
    <w:rsid w:val="00306C98"/>
    <w:rsid w:val="00307C34"/>
    <w:rsid w:val="0031096B"/>
    <w:rsid w:val="00311A2A"/>
    <w:rsid w:val="00311A69"/>
    <w:rsid w:val="00312A37"/>
    <w:rsid w:val="00313B56"/>
    <w:rsid w:val="00314EE3"/>
    <w:rsid w:val="00315CA1"/>
    <w:rsid w:val="00316E42"/>
    <w:rsid w:val="00326A94"/>
    <w:rsid w:val="0033129D"/>
    <w:rsid w:val="00331EFB"/>
    <w:rsid w:val="00336916"/>
    <w:rsid w:val="00337D25"/>
    <w:rsid w:val="00340F3A"/>
    <w:rsid w:val="003418ED"/>
    <w:rsid w:val="00342B91"/>
    <w:rsid w:val="00347296"/>
    <w:rsid w:val="0035439C"/>
    <w:rsid w:val="00362030"/>
    <w:rsid w:val="00364275"/>
    <w:rsid w:val="003662BC"/>
    <w:rsid w:val="003664BA"/>
    <w:rsid w:val="003723D2"/>
    <w:rsid w:val="00373425"/>
    <w:rsid w:val="00376136"/>
    <w:rsid w:val="00376201"/>
    <w:rsid w:val="00377065"/>
    <w:rsid w:val="00380980"/>
    <w:rsid w:val="00380A47"/>
    <w:rsid w:val="00383D79"/>
    <w:rsid w:val="003845CA"/>
    <w:rsid w:val="0038557A"/>
    <w:rsid w:val="003900B7"/>
    <w:rsid w:val="00390F2B"/>
    <w:rsid w:val="00394492"/>
    <w:rsid w:val="00395CFC"/>
    <w:rsid w:val="003A48D2"/>
    <w:rsid w:val="003A5631"/>
    <w:rsid w:val="003A623D"/>
    <w:rsid w:val="003B240C"/>
    <w:rsid w:val="003B2CF2"/>
    <w:rsid w:val="003C09F1"/>
    <w:rsid w:val="003C2263"/>
    <w:rsid w:val="003C4F75"/>
    <w:rsid w:val="003D05C5"/>
    <w:rsid w:val="003D6078"/>
    <w:rsid w:val="003D6532"/>
    <w:rsid w:val="003E0268"/>
    <w:rsid w:val="003E2F47"/>
    <w:rsid w:val="003E57FB"/>
    <w:rsid w:val="003F0714"/>
    <w:rsid w:val="003F0819"/>
    <w:rsid w:val="003F1F90"/>
    <w:rsid w:val="003F3A78"/>
    <w:rsid w:val="003F3DBF"/>
    <w:rsid w:val="003F59B5"/>
    <w:rsid w:val="00401542"/>
    <w:rsid w:val="00401E5D"/>
    <w:rsid w:val="00404431"/>
    <w:rsid w:val="00410699"/>
    <w:rsid w:val="004136BD"/>
    <w:rsid w:val="00420EE7"/>
    <w:rsid w:val="0042113E"/>
    <w:rsid w:val="00421D3C"/>
    <w:rsid w:val="00421D78"/>
    <w:rsid w:val="00422AD1"/>
    <w:rsid w:val="004319A7"/>
    <w:rsid w:val="004325BD"/>
    <w:rsid w:val="004338AA"/>
    <w:rsid w:val="00437723"/>
    <w:rsid w:val="004430EA"/>
    <w:rsid w:val="00450AD2"/>
    <w:rsid w:val="00455037"/>
    <w:rsid w:val="00457C41"/>
    <w:rsid w:val="004600BF"/>
    <w:rsid w:val="004601AF"/>
    <w:rsid w:val="0046330E"/>
    <w:rsid w:val="004644AE"/>
    <w:rsid w:val="00466B2C"/>
    <w:rsid w:val="004679BE"/>
    <w:rsid w:val="00473D6C"/>
    <w:rsid w:val="004740FE"/>
    <w:rsid w:val="004753B1"/>
    <w:rsid w:val="00477D8F"/>
    <w:rsid w:val="004805D5"/>
    <w:rsid w:val="00481F10"/>
    <w:rsid w:val="00485DB8"/>
    <w:rsid w:val="00486D93"/>
    <w:rsid w:val="004900E8"/>
    <w:rsid w:val="00492FD6"/>
    <w:rsid w:val="004A0EC6"/>
    <w:rsid w:val="004A13BB"/>
    <w:rsid w:val="004A16C2"/>
    <w:rsid w:val="004A4900"/>
    <w:rsid w:val="004A60D1"/>
    <w:rsid w:val="004A622F"/>
    <w:rsid w:val="004B0B32"/>
    <w:rsid w:val="004B0E88"/>
    <w:rsid w:val="004B14FE"/>
    <w:rsid w:val="004B5A87"/>
    <w:rsid w:val="004B6FF8"/>
    <w:rsid w:val="004B7851"/>
    <w:rsid w:val="004C3181"/>
    <w:rsid w:val="004D0C70"/>
    <w:rsid w:val="004D153D"/>
    <w:rsid w:val="004D500C"/>
    <w:rsid w:val="004D6426"/>
    <w:rsid w:val="004D758B"/>
    <w:rsid w:val="004E0B5F"/>
    <w:rsid w:val="004E0D01"/>
    <w:rsid w:val="004E21A2"/>
    <w:rsid w:val="004E25F0"/>
    <w:rsid w:val="004E2FB6"/>
    <w:rsid w:val="004E33B9"/>
    <w:rsid w:val="004E57BB"/>
    <w:rsid w:val="004F02FF"/>
    <w:rsid w:val="004F1570"/>
    <w:rsid w:val="004F1BAF"/>
    <w:rsid w:val="004F461E"/>
    <w:rsid w:val="004F463B"/>
    <w:rsid w:val="004F4B64"/>
    <w:rsid w:val="004F6672"/>
    <w:rsid w:val="004F7A6F"/>
    <w:rsid w:val="00500536"/>
    <w:rsid w:val="00500F72"/>
    <w:rsid w:val="005022E0"/>
    <w:rsid w:val="00502466"/>
    <w:rsid w:val="005048FB"/>
    <w:rsid w:val="005114D0"/>
    <w:rsid w:val="00511B56"/>
    <w:rsid w:val="00515B79"/>
    <w:rsid w:val="00515FB3"/>
    <w:rsid w:val="005173BA"/>
    <w:rsid w:val="005214F8"/>
    <w:rsid w:val="005215DD"/>
    <w:rsid w:val="00522AB4"/>
    <w:rsid w:val="00523E0B"/>
    <w:rsid w:val="00526B9D"/>
    <w:rsid w:val="00532318"/>
    <w:rsid w:val="00545937"/>
    <w:rsid w:val="00546CBC"/>
    <w:rsid w:val="0054739B"/>
    <w:rsid w:val="0055135C"/>
    <w:rsid w:val="005520C1"/>
    <w:rsid w:val="00552837"/>
    <w:rsid w:val="00555E5B"/>
    <w:rsid w:val="00560500"/>
    <w:rsid w:val="00561CC9"/>
    <w:rsid w:val="00565FEB"/>
    <w:rsid w:val="00567FE9"/>
    <w:rsid w:val="00570D88"/>
    <w:rsid w:val="00574634"/>
    <w:rsid w:val="00575764"/>
    <w:rsid w:val="00584B96"/>
    <w:rsid w:val="005913C7"/>
    <w:rsid w:val="00592946"/>
    <w:rsid w:val="00594CFC"/>
    <w:rsid w:val="00596A55"/>
    <w:rsid w:val="005A21A3"/>
    <w:rsid w:val="005A403A"/>
    <w:rsid w:val="005A498B"/>
    <w:rsid w:val="005A4E41"/>
    <w:rsid w:val="005A563F"/>
    <w:rsid w:val="005A731B"/>
    <w:rsid w:val="005B0AD5"/>
    <w:rsid w:val="005B507E"/>
    <w:rsid w:val="005B6331"/>
    <w:rsid w:val="005B6BF6"/>
    <w:rsid w:val="005C152C"/>
    <w:rsid w:val="005C2C62"/>
    <w:rsid w:val="005C3191"/>
    <w:rsid w:val="005C3E28"/>
    <w:rsid w:val="005D189B"/>
    <w:rsid w:val="005D37CD"/>
    <w:rsid w:val="005D679D"/>
    <w:rsid w:val="005D6BDD"/>
    <w:rsid w:val="005E0C6E"/>
    <w:rsid w:val="005E269A"/>
    <w:rsid w:val="005E2D2A"/>
    <w:rsid w:val="005E2E5E"/>
    <w:rsid w:val="005E4AFD"/>
    <w:rsid w:val="005E534B"/>
    <w:rsid w:val="005E6F2F"/>
    <w:rsid w:val="005F0DEB"/>
    <w:rsid w:val="005F3543"/>
    <w:rsid w:val="005F420D"/>
    <w:rsid w:val="005F4831"/>
    <w:rsid w:val="005F52BD"/>
    <w:rsid w:val="005F7012"/>
    <w:rsid w:val="00600816"/>
    <w:rsid w:val="006013DB"/>
    <w:rsid w:val="00601665"/>
    <w:rsid w:val="006033E5"/>
    <w:rsid w:val="0061222D"/>
    <w:rsid w:val="00614D90"/>
    <w:rsid w:val="00616C09"/>
    <w:rsid w:val="006205FA"/>
    <w:rsid w:val="0062249B"/>
    <w:rsid w:val="00626E53"/>
    <w:rsid w:val="00627CF1"/>
    <w:rsid w:val="006306AD"/>
    <w:rsid w:val="00630D85"/>
    <w:rsid w:val="006374A5"/>
    <w:rsid w:val="00643161"/>
    <w:rsid w:val="00645E5C"/>
    <w:rsid w:val="006465B3"/>
    <w:rsid w:val="006533F7"/>
    <w:rsid w:val="006538A9"/>
    <w:rsid w:val="00655768"/>
    <w:rsid w:val="00656582"/>
    <w:rsid w:val="00657638"/>
    <w:rsid w:val="00661298"/>
    <w:rsid w:val="00663658"/>
    <w:rsid w:val="00665134"/>
    <w:rsid w:val="006660D6"/>
    <w:rsid w:val="0067362B"/>
    <w:rsid w:val="00673E67"/>
    <w:rsid w:val="006761FE"/>
    <w:rsid w:val="00676AFC"/>
    <w:rsid w:val="00677515"/>
    <w:rsid w:val="00680074"/>
    <w:rsid w:val="0068050A"/>
    <w:rsid w:val="00683A74"/>
    <w:rsid w:val="00684E44"/>
    <w:rsid w:val="00685360"/>
    <w:rsid w:val="0069074F"/>
    <w:rsid w:val="006909BD"/>
    <w:rsid w:val="00690A5A"/>
    <w:rsid w:val="00694784"/>
    <w:rsid w:val="00694A75"/>
    <w:rsid w:val="00696BF3"/>
    <w:rsid w:val="0069741D"/>
    <w:rsid w:val="006A4EE6"/>
    <w:rsid w:val="006A7FEF"/>
    <w:rsid w:val="006B31E8"/>
    <w:rsid w:val="006B5608"/>
    <w:rsid w:val="006B5D18"/>
    <w:rsid w:val="006B6246"/>
    <w:rsid w:val="006C6AD0"/>
    <w:rsid w:val="006C7340"/>
    <w:rsid w:val="006D36FF"/>
    <w:rsid w:val="006D42FE"/>
    <w:rsid w:val="006D4D7A"/>
    <w:rsid w:val="006D5CAA"/>
    <w:rsid w:val="006E0BB7"/>
    <w:rsid w:val="006E12C9"/>
    <w:rsid w:val="006E1FB4"/>
    <w:rsid w:val="006E3882"/>
    <w:rsid w:val="006E5494"/>
    <w:rsid w:val="006E6106"/>
    <w:rsid w:val="006E6BE6"/>
    <w:rsid w:val="006F0649"/>
    <w:rsid w:val="006F3FF6"/>
    <w:rsid w:val="006F50D6"/>
    <w:rsid w:val="006F51B1"/>
    <w:rsid w:val="006F6528"/>
    <w:rsid w:val="006F76DB"/>
    <w:rsid w:val="0070031C"/>
    <w:rsid w:val="007031B9"/>
    <w:rsid w:val="00704489"/>
    <w:rsid w:val="00704490"/>
    <w:rsid w:val="00705199"/>
    <w:rsid w:val="00705FF3"/>
    <w:rsid w:val="007139FA"/>
    <w:rsid w:val="007149DD"/>
    <w:rsid w:val="0071744C"/>
    <w:rsid w:val="0072274B"/>
    <w:rsid w:val="007235BD"/>
    <w:rsid w:val="007308AD"/>
    <w:rsid w:val="0073095F"/>
    <w:rsid w:val="00730D96"/>
    <w:rsid w:val="007326EC"/>
    <w:rsid w:val="0073429F"/>
    <w:rsid w:val="007366C3"/>
    <w:rsid w:val="00741101"/>
    <w:rsid w:val="00741E95"/>
    <w:rsid w:val="00743576"/>
    <w:rsid w:val="00750DC6"/>
    <w:rsid w:val="0075198A"/>
    <w:rsid w:val="00753D13"/>
    <w:rsid w:val="00753E00"/>
    <w:rsid w:val="00761E98"/>
    <w:rsid w:val="007635BD"/>
    <w:rsid w:val="0076466B"/>
    <w:rsid w:val="007674BA"/>
    <w:rsid w:val="0077200D"/>
    <w:rsid w:val="007722E8"/>
    <w:rsid w:val="007724FB"/>
    <w:rsid w:val="0077298B"/>
    <w:rsid w:val="00773213"/>
    <w:rsid w:val="00773503"/>
    <w:rsid w:val="00773968"/>
    <w:rsid w:val="00774755"/>
    <w:rsid w:val="007747E9"/>
    <w:rsid w:val="00777A51"/>
    <w:rsid w:val="007815FB"/>
    <w:rsid w:val="00781CA2"/>
    <w:rsid w:val="00781F45"/>
    <w:rsid w:val="00786AA0"/>
    <w:rsid w:val="007901E7"/>
    <w:rsid w:val="00794B0B"/>
    <w:rsid w:val="00795D38"/>
    <w:rsid w:val="00797D4F"/>
    <w:rsid w:val="007A0389"/>
    <w:rsid w:val="007A2954"/>
    <w:rsid w:val="007A2B94"/>
    <w:rsid w:val="007A2D6B"/>
    <w:rsid w:val="007A5563"/>
    <w:rsid w:val="007A5A71"/>
    <w:rsid w:val="007A7CF6"/>
    <w:rsid w:val="007B16AB"/>
    <w:rsid w:val="007B1E63"/>
    <w:rsid w:val="007B3EEB"/>
    <w:rsid w:val="007B682A"/>
    <w:rsid w:val="007B7C54"/>
    <w:rsid w:val="007C1CC7"/>
    <w:rsid w:val="007C2C58"/>
    <w:rsid w:val="007C3FA1"/>
    <w:rsid w:val="007C607A"/>
    <w:rsid w:val="007C72F8"/>
    <w:rsid w:val="007D2845"/>
    <w:rsid w:val="007D2886"/>
    <w:rsid w:val="007E0409"/>
    <w:rsid w:val="007E0A3B"/>
    <w:rsid w:val="007E6E2B"/>
    <w:rsid w:val="007E6F8A"/>
    <w:rsid w:val="007E7039"/>
    <w:rsid w:val="007F29A2"/>
    <w:rsid w:val="007F43A2"/>
    <w:rsid w:val="00801B1E"/>
    <w:rsid w:val="00810E64"/>
    <w:rsid w:val="00812237"/>
    <w:rsid w:val="008151AD"/>
    <w:rsid w:val="00820370"/>
    <w:rsid w:val="00821888"/>
    <w:rsid w:val="00826296"/>
    <w:rsid w:val="00834791"/>
    <w:rsid w:val="008372DB"/>
    <w:rsid w:val="0084036F"/>
    <w:rsid w:val="00842AD2"/>
    <w:rsid w:val="00843673"/>
    <w:rsid w:val="00843919"/>
    <w:rsid w:val="00843E42"/>
    <w:rsid w:val="00844BC1"/>
    <w:rsid w:val="00846EB5"/>
    <w:rsid w:val="00852309"/>
    <w:rsid w:val="0085602E"/>
    <w:rsid w:val="0085676E"/>
    <w:rsid w:val="008616AE"/>
    <w:rsid w:val="00865B7E"/>
    <w:rsid w:val="00880BF5"/>
    <w:rsid w:val="00883D5D"/>
    <w:rsid w:val="00884AC7"/>
    <w:rsid w:val="00886374"/>
    <w:rsid w:val="0089446E"/>
    <w:rsid w:val="008A08EB"/>
    <w:rsid w:val="008A191C"/>
    <w:rsid w:val="008A48A4"/>
    <w:rsid w:val="008B04C4"/>
    <w:rsid w:val="008B3157"/>
    <w:rsid w:val="008B44D9"/>
    <w:rsid w:val="008B5BD2"/>
    <w:rsid w:val="008B6CD5"/>
    <w:rsid w:val="008C1A9D"/>
    <w:rsid w:val="008C364C"/>
    <w:rsid w:val="008C3C7F"/>
    <w:rsid w:val="008C47F1"/>
    <w:rsid w:val="008C52F7"/>
    <w:rsid w:val="008D1ED1"/>
    <w:rsid w:val="008D6762"/>
    <w:rsid w:val="008E35E7"/>
    <w:rsid w:val="008E46E9"/>
    <w:rsid w:val="008E51EE"/>
    <w:rsid w:val="008F123B"/>
    <w:rsid w:val="008F15D7"/>
    <w:rsid w:val="008F2301"/>
    <w:rsid w:val="008F38EF"/>
    <w:rsid w:val="008F77C5"/>
    <w:rsid w:val="009028F2"/>
    <w:rsid w:val="00902D39"/>
    <w:rsid w:val="00913256"/>
    <w:rsid w:val="00913DE1"/>
    <w:rsid w:val="00914B52"/>
    <w:rsid w:val="00914DDC"/>
    <w:rsid w:val="00921F63"/>
    <w:rsid w:val="009225FB"/>
    <w:rsid w:val="00922993"/>
    <w:rsid w:val="0092772E"/>
    <w:rsid w:val="00931530"/>
    <w:rsid w:val="00931FC1"/>
    <w:rsid w:val="00932DA2"/>
    <w:rsid w:val="009363E3"/>
    <w:rsid w:val="009413D5"/>
    <w:rsid w:val="00942ECB"/>
    <w:rsid w:val="00944523"/>
    <w:rsid w:val="00944CB5"/>
    <w:rsid w:val="00944F3B"/>
    <w:rsid w:val="0094788B"/>
    <w:rsid w:val="009538C7"/>
    <w:rsid w:val="00953EFF"/>
    <w:rsid w:val="0095752A"/>
    <w:rsid w:val="00960290"/>
    <w:rsid w:val="0096283C"/>
    <w:rsid w:val="009642E8"/>
    <w:rsid w:val="009644BB"/>
    <w:rsid w:val="00965DBA"/>
    <w:rsid w:val="00967DEF"/>
    <w:rsid w:val="0097054F"/>
    <w:rsid w:val="009717A4"/>
    <w:rsid w:val="009720FE"/>
    <w:rsid w:val="00973484"/>
    <w:rsid w:val="00980A0B"/>
    <w:rsid w:val="00981E89"/>
    <w:rsid w:val="00982AD8"/>
    <w:rsid w:val="0098411A"/>
    <w:rsid w:val="00984E61"/>
    <w:rsid w:val="0098773F"/>
    <w:rsid w:val="009879E6"/>
    <w:rsid w:val="009937F2"/>
    <w:rsid w:val="00994ADC"/>
    <w:rsid w:val="00994B21"/>
    <w:rsid w:val="00994DA0"/>
    <w:rsid w:val="0099790D"/>
    <w:rsid w:val="009A2D81"/>
    <w:rsid w:val="009A78EA"/>
    <w:rsid w:val="009B2E11"/>
    <w:rsid w:val="009B46C2"/>
    <w:rsid w:val="009B4A82"/>
    <w:rsid w:val="009B58C7"/>
    <w:rsid w:val="009C0EE3"/>
    <w:rsid w:val="009C1FB6"/>
    <w:rsid w:val="009C35EA"/>
    <w:rsid w:val="009C5881"/>
    <w:rsid w:val="009C64C0"/>
    <w:rsid w:val="009C6A97"/>
    <w:rsid w:val="009D3DAD"/>
    <w:rsid w:val="009E422C"/>
    <w:rsid w:val="009E592B"/>
    <w:rsid w:val="009F19EB"/>
    <w:rsid w:val="009F5E5A"/>
    <w:rsid w:val="009F636F"/>
    <w:rsid w:val="009F640F"/>
    <w:rsid w:val="009F6C7C"/>
    <w:rsid w:val="00A0020D"/>
    <w:rsid w:val="00A00C47"/>
    <w:rsid w:val="00A017DB"/>
    <w:rsid w:val="00A0264A"/>
    <w:rsid w:val="00A03385"/>
    <w:rsid w:val="00A0614F"/>
    <w:rsid w:val="00A07383"/>
    <w:rsid w:val="00A101B4"/>
    <w:rsid w:val="00A102E2"/>
    <w:rsid w:val="00A1341D"/>
    <w:rsid w:val="00A13D62"/>
    <w:rsid w:val="00A1477D"/>
    <w:rsid w:val="00A15016"/>
    <w:rsid w:val="00A162EC"/>
    <w:rsid w:val="00A20138"/>
    <w:rsid w:val="00A23E0B"/>
    <w:rsid w:val="00A23FE6"/>
    <w:rsid w:val="00A24D8E"/>
    <w:rsid w:val="00A2571D"/>
    <w:rsid w:val="00A30C1E"/>
    <w:rsid w:val="00A315F8"/>
    <w:rsid w:val="00A323BD"/>
    <w:rsid w:val="00A3394E"/>
    <w:rsid w:val="00A33B75"/>
    <w:rsid w:val="00A34005"/>
    <w:rsid w:val="00A369AC"/>
    <w:rsid w:val="00A4207A"/>
    <w:rsid w:val="00A4459C"/>
    <w:rsid w:val="00A44CCB"/>
    <w:rsid w:val="00A476FB"/>
    <w:rsid w:val="00A53AA6"/>
    <w:rsid w:val="00A55B64"/>
    <w:rsid w:val="00A55CA1"/>
    <w:rsid w:val="00A5624B"/>
    <w:rsid w:val="00A5698F"/>
    <w:rsid w:val="00A57026"/>
    <w:rsid w:val="00A5742F"/>
    <w:rsid w:val="00A60E13"/>
    <w:rsid w:val="00A63359"/>
    <w:rsid w:val="00A644D0"/>
    <w:rsid w:val="00A660E8"/>
    <w:rsid w:val="00A701AD"/>
    <w:rsid w:val="00A70761"/>
    <w:rsid w:val="00A73AB4"/>
    <w:rsid w:val="00A742F9"/>
    <w:rsid w:val="00A75B0E"/>
    <w:rsid w:val="00A7708C"/>
    <w:rsid w:val="00A7794B"/>
    <w:rsid w:val="00A800E3"/>
    <w:rsid w:val="00A824B7"/>
    <w:rsid w:val="00A83B3E"/>
    <w:rsid w:val="00A90825"/>
    <w:rsid w:val="00A94B27"/>
    <w:rsid w:val="00A962ED"/>
    <w:rsid w:val="00AA12F7"/>
    <w:rsid w:val="00AA24A0"/>
    <w:rsid w:val="00AA3129"/>
    <w:rsid w:val="00AA340A"/>
    <w:rsid w:val="00AA3BED"/>
    <w:rsid w:val="00AA608B"/>
    <w:rsid w:val="00AA6CA9"/>
    <w:rsid w:val="00AB0B62"/>
    <w:rsid w:val="00AC5D99"/>
    <w:rsid w:val="00AD4400"/>
    <w:rsid w:val="00AD744D"/>
    <w:rsid w:val="00AE1E22"/>
    <w:rsid w:val="00AF4244"/>
    <w:rsid w:val="00AF63BB"/>
    <w:rsid w:val="00AF6804"/>
    <w:rsid w:val="00AF696D"/>
    <w:rsid w:val="00B00649"/>
    <w:rsid w:val="00B01E35"/>
    <w:rsid w:val="00B03E27"/>
    <w:rsid w:val="00B04B6B"/>
    <w:rsid w:val="00B06B02"/>
    <w:rsid w:val="00B10810"/>
    <w:rsid w:val="00B11212"/>
    <w:rsid w:val="00B141F7"/>
    <w:rsid w:val="00B15F3E"/>
    <w:rsid w:val="00B22CF7"/>
    <w:rsid w:val="00B2669A"/>
    <w:rsid w:val="00B3041B"/>
    <w:rsid w:val="00B33E8A"/>
    <w:rsid w:val="00B4210B"/>
    <w:rsid w:val="00B44D12"/>
    <w:rsid w:val="00B5209C"/>
    <w:rsid w:val="00B5216D"/>
    <w:rsid w:val="00B5534F"/>
    <w:rsid w:val="00B55362"/>
    <w:rsid w:val="00B61284"/>
    <w:rsid w:val="00B645AF"/>
    <w:rsid w:val="00B65C87"/>
    <w:rsid w:val="00B66930"/>
    <w:rsid w:val="00B712F9"/>
    <w:rsid w:val="00B71823"/>
    <w:rsid w:val="00B740FD"/>
    <w:rsid w:val="00B74FBB"/>
    <w:rsid w:val="00B7518E"/>
    <w:rsid w:val="00B75749"/>
    <w:rsid w:val="00B77BB4"/>
    <w:rsid w:val="00B80669"/>
    <w:rsid w:val="00B831D8"/>
    <w:rsid w:val="00B83AAC"/>
    <w:rsid w:val="00B84A63"/>
    <w:rsid w:val="00B9394A"/>
    <w:rsid w:val="00B93F30"/>
    <w:rsid w:val="00B950CE"/>
    <w:rsid w:val="00B953B5"/>
    <w:rsid w:val="00B97855"/>
    <w:rsid w:val="00BA0572"/>
    <w:rsid w:val="00BA0DDD"/>
    <w:rsid w:val="00BA1DFB"/>
    <w:rsid w:val="00BA2C10"/>
    <w:rsid w:val="00BA32CF"/>
    <w:rsid w:val="00BA440B"/>
    <w:rsid w:val="00BA5870"/>
    <w:rsid w:val="00BA6C83"/>
    <w:rsid w:val="00BB0CA8"/>
    <w:rsid w:val="00BB21F5"/>
    <w:rsid w:val="00BB52D9"/>
    <w:rsid w:val="00BB6215"/>
    <w:rsid w:val="00BC1B28"/>
    <w:rsid w:val="00BC21CF"/>
    <w:rsid w:val="00BC352A"/>
    <w:rsid w:val="00BD279F"/>
    <w:rsid w:val="00BD2F75"/>
    <w:rsid w:val="00BD5FAD"/>
    <w:rsid w:val="00BD658F"/>
    <w:rsid w:val="00BD6EC9"/>
    <w:rsid w:val="00BD7DCA"/>
    <w:rsid w:val="00BE0952"/>
    <w:rsid w:val="00BE120C"/>
    <w:rsid w:val="00BE1BF6"/>
    <w:rsid w:val="00BE530C"/>
    <w:rsid w:val="00BF13E3"/>
    <w:rsid w:val="00BF235C"/>
    <w:rsid w:val="00BF25EF"/>
    <w:rsid w:val="00BF53E4"/>
    <w:rsid w:val="00BF6B82"/>
    <w:rsid w:val="00C02DD7"/>
    <w:rsid w:val="00C02F70"/>
    <w:rsid w:val="00C05964"/>
    <w:rsid w:val="00C1109A"/>
    <w:rsid w:val="00C14ACB"/>
    <w:rsid w:val="00C14C00"/>
    <w:rsid w:val="00C158D8"/>
    <w:rsid w:val="00C167D6"/>
    <w:rsid w:val="00C178F9"/>
    <w:rsid w:val="00C17E44"/>
    <w:rsid w:val="00C214CA"/>
    <w:rsid w:val="00C23A3A"/>
    <w:rsid w:val="00C25593"/>
    <w:rsid w:val="00C26D19"/>
    <w:rsid w:val="00C3061C"/>
    <w:rsid w:val="00C3372C"/>
    <w:rsid w:val="00C33862"/>
    <w:rsid w:val="00C3769B"/>
    <w:rsid w:val="00C40A09"/>
    <w:rsid w:val="00C41B1B"/>
    <w:rsid w:val="00C52F47"/>
    <w:rsid w:val="00C54672"/>
    <w:rsid w:val="00C55095"/>
    <w:rsid w:val="00C56212"/>
    <w:rsid w:val="00C571C3"/>
    <w:rsid w:val="00C62466"/>
    <w:rsid w:val="00C62934"/>
    <w:rsid w:val="00C6407C"/>
    <w:rsid w:val="00C707E8"/>
    <w:rsid w:val="00C7581F"/>
    <w:rsid w:val="00C76459"/>
    <w:rsid w:val="00C81CBA"/>
    <w:rsid w:val="00C82735"/>
    <w:rsid w:val="00C83EE5"/>
    <w:rsid w:val="00C8430C"/>
    <w:rsid w:val="00C85A98"/>
    <w:rsid w:val="00C8744A"/>
    <w:rsid w:val="00C9304A"/>
    <w:rsid w:val="00C94172"/>
    <w:rsid w:val="00C97FF4"/>
    <w:rsid w:val="00CA1E06"/>
    <w:rsid w:val="00CB082B"/>
    <w:rsid w:val="00CB1A04"/>
    <w:rsid w:val="00CB4A2E"/>
    <w:rsid w:val="00CB5DDE"/>
    <w:rsid w:val="00CB7157"/>
    <w:rsid w:val="00CC0695"/>
    <w:rsid w:val="00CC43FA"/>
    <w:rsid w:val="00CC4961"/>
    <w:rsid w:val="00CC5FC6"/>
    <w:rsid w:val="00CD30C3"/>
    <w:rsid w:val="00CD35E6"/>
    <w:rsid w:val="00CD4FBE"/>
    <w:rsid w:val="00CE1AFE"/>
    <w:rsid w:val="00CE1BB6"/>
    <w:rsid w:val="00CE3702"/>
    <w:rsid w:val="00CE4BD5"/>
    <w:rsid w:val="00CE6674"/>
    <w:rsid w:val="00CE6A28"/>
    <w:rsid w:val="00CF036C"/>
    <w:rsid w:val="00CF31F0"/>
    <w:rsid w:val="00CF332D"/>
    <w:rsid w:val="00CF33A7"/>
    <w:rsid w:val="00CF5501"/>
    <w:rsid w:val="00CF57BF"/>
    <w:rsid w:val="00CF6622"/>
    <w:rsid w:val="00CF726C"/>
    <w:rsid w:val="00D00DFD"/>
    <w:rsid w:val="00D05502"/>
    <w:rsid w:val="00D1079D"/>
    <w:rsid w:val="00D10C09"/>
    <w:rsid w:val="00D13D77"/>
    <w:rsid w:val="00D14576"/>
    <w:rsid w:val="00D15A5F"/>
    <w:rsid w:val="00D16F37"/>
    <w:rsid w:val="00D17079"/>
    <w:rsid w:val="00D17498"/>
    <w:rsid w:val="00D214B5"/>
    <w:rsid w:val="00D21BE0"/>
    <w:rsid w:val="00D326A3"/>
    <w:rsid w:val="00D3682B"/>
    <w:rsid w:val="00D36D0C"/>
    <w:rsid w:val="00D40436"/>
    <w:rsid w:val="00D42171"/>
    <w:rsid w:val="00D4445F"/>
    <w:rsid w:val="00D45E8A"/>
    <w:rsid w:val="00D472FE"/>
    <w:rsid w:val="00D47764"/>
    <w:rsid w:val="00D51C3B"/>
    <w:rsid w:val="00D533CA"/>
    <w:rsid w:val="00D5385E"/>
    <w:rsid w:val="00D615DA"/>
    <w:rsid w:val="00D61D99"/>
    <w:rsid w:val="00D70BD5"/>
    <w:rsid w:val="00D7128F"/>
    <w:rsid w:val="00D74C64"/>
    <w:rsid w:val="00D7599C"/>
    <w:rsid w:val="00D76BD1"/>
    <w:rsid w:val="00D80004"/>
    <w:rsid w:val="00D80E1C"/>
    <w:rsid w:val="00D831D4"/>
    <w:rsid w:val="00D83A83"/>
    <w:rsid w:val="00D95F24"/>
    <w:rsid w:val="00D970F4"/>
    <w:rsid w:val="00D97752"/>
    <w:rsid w:val="00DA3576"/>
    <w:rsid w:val="00DA4D4D"/>
    <w:rsid w:val="00DA5E11"/>
    <w:rsid w:val="00DA72E1"/>
    <w:rsid w:val="00DA788F"/>
    <w:rsid w:val="00DB05B6"/>
    <w:rsid w:val="00DB1316"/>
    <w:rsid w:val="00DB2E9D"/>
    <w:rsid w:val="00DB55D5"/>
    <w:rsid w:val="00DC0343"/>
    <w:rsid w:val="00DC161C"/>
    <w:rsid w:val="00DC4A5D"/>
    <w:rsid w:val="00DC53F8"/>
    <w:rsid w:val="00DD1571"/>
    <w:rsid w:val="00DD480A"/>
    <w:rsid w:val="00DD523D"/>
    <w:rsid w:val="00DD7056"/>
    <w:rsid w:val="00DD7D21"/>
    <w:rsid w:val="00DE31A6"/>
    <w:rsid w:val="00DE43A3"/>
    <w:rsid w:val="00DE5902"/>
    <w:rsid w:val="00DE640E"/>
    <w:rsid w:val="00DF1437"/>
    <w:rsid w:val="00DF470B"/>
    <w:rsid w:val="00DF5A94"/>
    <w:rsid w:val="00DF7C89"/>
    <w:rsid w:val="00E00800"/>
    <w:rsid w:val="00E0080D"/>
    <w:rsid w:val="00E00979"/>
    <w:rsid w:val="00E01AC0"/>
    <w:rsid w:val="00E02E7E"/>
    <w:rsid w:val="00E041E8"/>
    <w:rsid w:val="00E04BBB"/>
    <w:rsid w:val="00E07748"/>
    <w:rsid w:val="00E106E3"/>
    <w:rsid w:val="00E11316"/>
    <w:rsid w:val="00E13779"/>
    <w:rsid w:val="00E13BBC"/>
    <w:rsid w:val="00E1529B"/>
    <w:rsid w:val="00E16E9F"/>
    <w:rsid w:val="00E21900"/>
    <w:rsid w:val="00E2330B"/>
    <w:rsid w:val="00E23563"/>
    <w:rsid w:val="00E26255"/>
    <w:rsid w:val="00E2749B"/>
    <w:rsid w:val="00E30D6D"/>
    <w:rsid w:val="00E404CE"/>
    <w:rsid w:val="00E4643F"/>
    <w:rsid w:val="00E47156"/>
    <w:rsid w:val="00E47774"/>
    <w:rsid w:val="00E47979"/>
    <w:rsid w:val="00E5174A"/>
    <w:rsid w:val="00E54DEA"/>
    <w:rsid w:val="00E552B1"/>
    <w:rsid w:val="00E574F1"/>
    <w:rsid w:val="00E6015B"/>
    <w:rsid w:val="00E63B40"/>
    <w:rsid w:val="00E64A94"/>
    <w:rsid w:val="00E66058"/>
    <w:rsid w:val="00E67520"/>
    <w:rsid w:val="00E67FD1"/>
    <w:rsid w:val="00E7571D"/>
    <w:rsid w:val="00E75D6D"/>
    <w:rsid w:val="00E81D73"/>
    <w:rsid w:val="00E82F55"/>
    <w:rsid w:val="00E874D6"/>
    <w:rsid w:val="00E87A79"/>
    <w:rsid w:val="00E90034"/>
    <w:rsid w:val="00E94C7B"/>
    <w:rsid w:val="00E96414"/>
    <w:rsid w:val="00EA0A76"/>
    <w:rsid w:val="00EA606D"/>
    <w:rsid w:val="00EA6D52"/>
    <w:rsid w:val="00EA6E0F"/>
    <w:rsid w:val="00EB0223"/>
    <w:rsid w:val="00EB4B2B"/>
    <w:rsid w:val="00EB586C"/>
    <w:rsid w:val="00EB6206"/>
    <w:rsid w:val="00EC5A2C"/>
    <w:rsid w:val="00EC5B4F"/>
    <w:rsid w:val="00ED1C82"/>
    <w:rsid w:val="00ED33D7"/>
    <w:rsid w:val="00ED35AB"/>
    <w:rsid w:val="00ED565C"/>
    <w:rsid w:val="00EE1DAC"/>
    <w:rsid w:val="00EE365B"/>
    <w:rsid w:val="00EE38A6"/>
    <w:rsid w:val="00EE41EE"/>
    <w:rsid w:val="00EE5CEE"/>
    <w:rsid w:val="00EE5DDC"/>
    <w:rsid w:val="00EE5F9B"/>
    <w:rsid w:val="00EE661F"/>
    <w:rsid w:val="00EF2448"/>
    <w:rsid w:val="00EF7368"/>
    <w:rsid w:val="00F041C8"/>
    <w:rsid w:val="00F04A76"/>
    <w:rsid w:val="00F05AEC"/>
    <w:rsid w:val="00F2127A"/>
    <w:rsid w:val="00F22A83"/>
    <w:rsid w:val="00F26A50"/>
    <w:rsid w:val="00F305C1"/>
    <w:rsid w:val="00F313A5"/>
    <w:rsid w:val="00F34EF3"/>
    <w:rsid w:val="00F42BEC"/>
    <w:rsid w:val="00F453A7"/>
    <w:rsid w:val="00F474FC"/>
    <w:rsid w:val="00F529D4"/>
    <w:rsid w:val="00F56070"/>
    <w:rsid w:val="00F56DE4"/>
    <w:rsid w:val="00F60CB2"/>
    <w:rsid w:val="00F60F76"/>
    <w:rsid w:val="00F61915"/>
    <w:rsid w:val="00F63188"/>
    <w:rsid w:val="00F64399"/>
    <w:rsid w:val="00F66DF3"/>
    <w:rsid w:val="00F6770C"/>
    <w:rsid w:val="00F71656"/>
    <w:rsid w:val="00F71D53"/>
    <w:rsid w:val="00F72AEE"/>
    <w:rsid w:val="00F73A52"/>
    <w:rsid w:val="00F73E98"/>
    <w:rsid w:val="00F75CA8"/>
    <w:rsid w:val="00F76943"/>
    <w:rsid w:val="00F76E7A"/>
    <w:rsid w:val="00F80232"/>
    <w:rsid w:val="00F80ED8"/>
    <w:rsid w:val="00F80F80"/>
    <w:rsid w:val="00F82098"/>
    <w:rsid w:val="00F83837"/>
    <w:rsid w:val="00F83C48"/>
    <w:rsid w:val="00F86A7F"/>
    <w:rsid w:val="00F916AA"/>
    <w:rsid w:val="00F94AA5"/>
    <w:rsid w:val="00F9603D"/>
    <w:rsid w:val="00FA00DE"/>
    <w:rsid w:val="00FA0FFF"/>
    <w:rsid w:val="00FA3ECB"/>
    <w:rsid w:val="00FB10EA"/>
    <w:rsid w:val="00FB3635"/>
    <w:rsid w:val="00FC2899"/>
    <w:rsid w:val="00FD0B76"/>
    <w:rsid w:val="00FD2510"/>
    <w:rsid w:val="00FD3914"/>
    <w:rsid w:val="00FD3B5C"/>
    <w:rsid w:val="00FD4A7C"/>
    <w:rsid w:val="00FD6A4E"/>
    <w:rsid w:val="00FE3F5A"/>
    <w:rsid w:val="00FE4C91"/>
    <w:rsid w:val="00FE5287"/>
    <w:rsid w:val="00FF7AE5"/>
    <w:rsid w:val="0110758E"/>
    <w:rsid w:val="013E3256"/>
    <w:rsid w:val="01502802"/>
    <w:rsid w:val="015E4AD6"/>
    <w:rsid w:val="016552C5"/>
    <w:rsid w:val="017238F4"/>
    <w:rsid w:val="01A4543E"/>
    <w:rsid w:val="01A977F2"/>
    <w:rsid w:val="01AE3796"/>
    <w:rsid w:val="01B43C61"/>
    <w:rsid w:val="01DE05D1"/>
    <w:rsid w:val="01E4369A"/>
    <w:rsid w:val="01EC0EDE"/>
    <w:rsid w:val="01F92BFF"/>
    <w:rsid w:val="01F9354B"/>
    <w:rsid w:val="02023AE7"/>
    <w:rsid w:val="021761A8"/>
    <w:rsid w:val="02236C50"/>
    <w:rsid w:val="02237762"/>
    <w:rsid w:val="023F64EE"/>
    <w:rsid w:val="024374E8"/>
    <w:rsid w:val="02655165"/>
    <w:rsid w:val="02677E43"/>
    <w:rsid w:val="026965FA"/>
    <w:rsid w:val="026D7FBC"/>
    <w:rsid w:val="02721F49"/>
    <w:rsid w:val="02827887"/>
    <w:rsid w:val="02F277C2"/>
    <w:rsid w:val="03134DA2"/>
    <w:rsid w:val="0339670C"/>
    <w:rsid w:val="03581719"/>
    <w:rsid w:val="03620F10"/>
    <w:rsid w:val="03855433"/>
    <w:rsid w:val="03860E18"/>
    <w:rsid w:val="03AC7380"/>
    <w:rsid w:val="04223110"/>
    <w:rsid w:val="043F3934"/>
    <w:rsid w:val="044C39F1"/>
    <w:rsid w:val="044D22B8"/>
    <w:rsid w:val="045C2D2D"/>
    <w:rsid w:val="04775A73"/>
    <w:rsid w:val="047B71F0"/>
    <w:rsid w:val="048173DE"/>
    <w:rsid w:val="0483150D"/>
    <w:rsid w:val="04846490"/>
    <w:rsid w:val="048A772D"/>
    <w:rsid w:val="04B230B7"/>
    <w:rsid w:val="04C41C33"/>
    <w:rsid w:val="04CC0B1E"/>
    <w:rsid w:val="04D7329C"/>
    <w:rsid w:val="04D90744"/>
    <w:rsid w:val="04DA2A60"/>
    <w:rsid w:val="050F05AE"/>
    <w:rsid w:val="050F5430"/>
    <w:rsid w:val="05482411"/>
    <w:rsid w:val="05534307"/>
    <w:rsid w:val="05786F85"/>
    <w:rsid w:val="059722DA"/>
    <w:rsid w:val="05A12E21"/>
    <w:rsid w:val="05A16B29"/>
    <w:rsid w:val="05AD25FD"/>
    <w:rsid w:val="05C85C41"/>
    <w:rsid w:val="05CF21C1"/>
    <w:rsid w:val="05DB0ACB"/>
    <w:rsid w:val="05DB30D4"/>
    <w:rsid w:val="05E43D47"/>
    <w:rsid w:val="05F20B88"/>
    <w:rsid w:val="05F65AAE"/>
    <w:rsid w:val="060071CE"/>
    <w:rsid w:val="061213FB"/>
    <w:rsid w:val="061C4939"/>
    <w:rsid w:val="06442CC3"/>
    <w:rsid w:val="064A483A"/>
    <w:rsid w:val="064C5D43"/>
    <w:rsid w:val="064E688E"/>
    <w:rsid w:val="06721155"/>
    <w:rsid w:val="06730C26"/>
    <w:rsid w:val="068052BF"/>
    <w:rsid w:val="069A735D"/>
    <w:rsid w:val="06A63332"/>
    <w:rsid w:val="06DD0B20"/>
    <w:rsid w:val="06E62A07"/>
    <w:rsid w:val="06F345EC"/>
    <w:rsid w:val="06F55648"/>
    <w:rsid w:val="071D4DB1"/>
    <w:rsid w:val="072237FF"/>
    <w:rsid w:val="0762527C"/>
    <w:rsid w:val="07686266"/>
    <w:rsid w:val="076B1549"/>
    <w:rsid w:val="07711F94"/>
    <w:rsid w:val="077165FD"/>
    <w:rsid w:val="07740143"/>
    <w:rsid w:val="07842CAA"/>
    <w:rsid w:val="07906F04"/>
    <w:rsid w:val="07AC108A"/>
    <w:rsid w:val="07B75F39"/>
    <w:rsid w:val="07D42A67"/>
    <w:rsid w:val="07EE7EEF"/>
    <w:rsid w:val="07FF2AE1"/>
    <w:rsid w:val="08064744"/>
    <w:rsid w:val="080A12B7"/>
    <w:rsid w:val="080D6B3F"/>
    <w:rsid w:val="081646F7"/>
    <w:rsid w:val="08176CC6"/>
    <w:rsid w:val="08226975"/>
    <w:rsid w:val="08481406"/>
    <w:rsid w:val="08501660"/>
    <w:rsid w:val="086A58D4"/>
    <w:rsid w:val="088828ED"/>
    <w:rsid w:val="08926CF5"/>
    <w:rsid w:val="089C0880"/>
    <w:rsid w:val="08A6526C"/>
    <w:rsid w:val="08AB2AA3"/>
    <w:rsid w:val="08C318A3"/>
    <w:rsid w:val="08C83577"/>
    <w:rsid w:val="08DD404C"/>
    <w:rsid w:val="0905407C"/>
    <w:rsid w:val="09063F7A"/>
    <w:rsid w:val="090907C3"/>
    <w:rsid w:val="091E3817"/>
    <w:rsid w:val="092E0CCC"/>
    <w:rsid w:val="09497464"/>
    <w:rsid w:val="096A6DEA"/>
    <w:rsid w:val="096B40BA"/>
    <w:rsid w:val="097C6841"/>
    <w:rsid w:val="09AA264C"/>
    <w:rsid w:val="09C84FCC"/>
    <w:rsid w:val="09D74559"/>
    <w:rsid w:val="09E569FA"/>
    <w:rsid w:val="0A333E05"/>
    <w:rsid w:val="0A46597E"/>
    <w:rsid w:val="0A5D3AD8"/>
    <w:rsid w:val="0A69624E"/>
    <w:rsid w:val="0A6D071C"/>
    <w:rsid w:val="0A796326"/>
    <w:rsid w:val="0A8A0049"/>
    <w:rsid w:val="0AB94103"/>
    <w:rsid w:val="0ABF2AC9"/>
    <w:rsid w:val="0AD06FE6"/>
    <w:rsid w:val="0AE57ED6"/>
    <w:rsid w:val="0AEA2C10"/>
    <w:rsid w:val="0AFF296B"/>
    <w:rsid w:val="0B0344B8"/>
    <w:rsid w:val="0B085EE8"/>
    <w:rsid w:val="0B0D6EC4"/>
    <w:rsid w:val="0B1957C1"/>
    <w:rsid w:val="0B205F62"/>
    <w:rsid w:val="0B436E64"/>
    <w:rsid w:val="0B480827"/>
    <w:rsid w:val="0B701BC0"/>
    <w:rsid w:val="0B8055A8"/>
    <w:rsid w:val="0B966B9F"/>
    <w:rsid w:val="0BC6490C"/>
    <w:rsid w:val="0BCC6F8B"/>
    <w:rsid w:val="0BCE7020"/>
    <w:rsid w:val="0BE47E90"/>
    <w:rsid w:val="0BEC5DB2"/>
    <w:rsid w:val="0BFC3652"/>
    <w:rsid w:val="0C123831"/>
    <w:rsid w:val="0C1D50F8"/>
    <w:rsid w:val="0C2A0642"/>
    <w:rsid w:val="0C2A36D2"/>
    <w:rsid w:val="0C347E7D"/>
    <w:rsid w:val="0C4D5899"/>
    <w:rsid w:val="0C5D2347"/>
    <w:rsid w:val="0C642262"/>
    <w:rsid w:val="0C886376"/>
    <w:rsid w:val="0C8C01E6"/>
    <w:rsid w:val="0C913F49"/>
    <w:rsid w:val="0CA61B6C"/>
    <w:rsid w:val="0CAA1E3A"/>
    <w:rsid w:val="0CB11C25"/>
    <w:rsid w:val="0CB826E7"/>
    <w:rsid w:val="0CC81150"/>
    <w:rsid w:val="0CCC3F3B"/>
    <w:rsid w:val="0CF00E5A"/>
    <w:rsid w:val="0D0D24F8"/>
    <w:rsid w:val="0D2600B7"/>
    <w:rsid w:val="0D2A6C7B"/>
    <w:rsid w:val="0D6C7539"/>
    <w:rsid w:val="0D6F237D"/>
    <w:rsid w:val="0D8B190D"/>
    <w:rsid w:val="0D9A48E9"/>
    <w:rsid w:val="0DA02E10"/>
    <w:rsid w:val="0DCD64DA"/>
    <w:rsid w:val="0E0F6890"/>
    <w:rsid w:val="0E2458D5"/>
    <w:rsid w:val="0E343DF3"/>
    <w:rsid w:val="0E4A0550"/>
    <w:rsid w:val="0E4C5940"/>
    <w:rsid w:val="0E512742"/>
    <w:rsid w:val="0E5478EA"/>
    <w:rsid w:val="0E6608D0"/>
    <w:rsid w:val="0E704E34"/>
    <w:rsid w:val="0E763195"/>
    <w:rsid w:val="0E7E6564"/>
    <w:rsid w:val="0E980E29"/>
    <w:rsid w:val="0E993C89"/>
    <w:rsid w:val="0EA11B86"/>
    <w:rsid w:val="0EA32BDB"/>
    <w:rsid w:val="0EA97557"/>
    <w:rsid w:val="0EB65444"/>
    <w:rsid w:val="0EBC6B63"/>
    <w:rsid w:val="0EBF1F6F"/>
    <w:rsid w:val="0EEE3A71"/>
    <w:rsid w:val="0F45776C"/>
    <w:rsid w:val="0F5661A3"/>
    <w:rsid w:val="0F70120E"/>
    <w:rsid w:val="0F795149"/>
    <w:rsid w:val="0FA3702C"/>
    <w:rsid w:val="0FAC3646"/>
    <w:rsid w:val="0FB059BD"/>
    <w:rsid w:val="100410E6"/>
    <w:rsid w:val="103C16C6"/>
    <w:rsid w:val="105645E7"/>
    <w:rsid w:val="105A4DD1"/>
    <w:rsid w:val="10614D47"/>
    <w:rsid w:val="106872CC"/>
    <w:rsid w:val="106E3D92"/>
    <w:rsid w:val="1078225A"/>
    <w:rsid w:val="107C38EE"/>
    <w:rsid w:val="1084302C"/>
    <w:rsid w:val="109F3920"/>
    <w:rsid w:val="10A520BC"/>
    <w:rsid w:val="10A84C73"/>
    <w:rsid w:val="10A97B46"/>
    <w:rsid w:val="10AC404D"/>
    <w:rsid w:val="10E71126"/>
    <w:rsid w:val="10F56D7E"/>
    <w:rsid w:val="10FF395E"/>
    <w:rsid w:val="111B74D5"/>
    <w:rsid w:val="11484F9B"/>
    <w:rsid w:val="11537FFF"/>
    <w:rsid w:val="11D92F6F"/>
    <w:rsid w:val="11ED7869"/>
    <w:rsid w:val="12082B58"/>
    <w:rsid w:val="121105B3"/>
    <w:rsid w:val="122E55C4"/>
    <w:rsid w:val="12455AC9"/>
    <w:rsid w:val="125330A6"/>
    <w:rsid w:val="127362A0"/>
    <w:rsid w:val="129A62D0"/>
    <w:rsid w:val="12A5142D"/>
    <w:rsid w:val="12A80CDB"/>
    <w:rsid w:val="12DA45E2"/>
    <w:rsid w:val="12DB20AE"/>
    <w:rsid w:val="12EB44C3"/>
    <w:rsid w:val="12EC2725"/>
    <w:rsid w:val="12EF1E30"/>
    <w:rsid w:val="134B5FD2"/>
    <w:rsid w:val="13502D67"/>
    <w:rsid w:val="137870DF"/>
    <w:rsid w:val="13873362"/>
    <w:rsid w:val="13B63237"/>
    <w:rsid w:val="13C26639"/>
    <w:rsid w:val="13DA1FCC"/>
    <w:rsid w:val="13EB154F"/>
    <w:rsid w:val="13F824C7"/>
    <w:rsid w:val="140C1C43"/>
    <w:rsid w:val="14235C36"/>
    <w:rsid w:val="14262EF2"/>
    <w:rsid w:val="14303FEB"/>
    <w:rsid w:val="14432719"/>
    <w:rsid w:val="144E63C2"/>
    <w:rsid w:val="146138A1"/>
    <w:rsid w:val="147D50AA"/>
    <w:rsid w:val="1486204E"/>
    <w:rsid w:val="14A340A2"/>
    <w:rsid w:val="14AC6536"/>
    <w:rsid w:val="14B11F4C"/>
    <w:rsid w:val="14B726A6"/>
    <w:rsid w:val="14BB3CC3"/>
    <w:rsid w:val="14BF3116"/>
    <w:rsid w:val="14CC0741"/>
    <w:rsid w:val="14DC229C"/>
    <w:rsid w:val="14E45DA9"/>
    <w:rsid w:val="14E86FD9"/>
    <w:rsid w:val="14FE6D64"/>
    <w:rsid w:val="15070C66"/>
    <w:rsid w:val="1552688F"/>
    <w:rsid w:val="157573E7"/>
    <w:rsid w:val="15962B14"/>
    <w:rsid w:val="15D31CAA"/>
    <w:rsid w:val="15FD7B60"/>
    <w:rsid w:val="16007632"/>
    <w:rsid w:val="16291BFF"/>
    <w:rsid w:val="162E1706"/>
    <w:rsid w:val="165F6AAB"/>
    <w:rsid w:val="166A1702"/>
    <w:rsid w:val="1678706D"/>
    <w:rsid w:val="16D3271A"/>
    <w:rsid w:val="16D42C93"/>
    <w:rsid w:val="16E16987"/>
    <w:rsid w:val="16EC18A3"/>
    <w:rsid w:val="16F708F7"/>
    <w:rsid w:val="17061CD8"/>
    <w:rsid w:val="170B7793"/>
    <w:rsid w:val="171E1AB4"/>
    <w:rsid w:val="172C1FA6"/>
    <w:rsid w:val="17431B5E"/>
    <w:rsid w:val="174E2212"/>
    <w:rsid w:val="17BF6295"/>
    <w:rsid w:val="17CC0FC3"/>
    <w:rsid w:val="17D26994"/>
    <w:rsid w:val="17DE3532"/>
    <w:rsid w:val="17F84D4B"/>
    <w:rsid w:val="18080CAF"/>
    <w:rsid w:val="182868AE"/>
    <w:rsid w:val="183A33DC"/>
    <w:rsid w:val="184865B4"/>
    <w:rsid w:val="185F21ED"/>
    <w:rsid w:val="18664818"/>
    <w:rsid w:val="187C391B"/>
    <w:rsid w:val="188A6D84"/>
    <w:rsid w:val="189A696D"/>
    <w:rsid w:val="18AF15D2"/>
    <w:rsid w:val="18BA0C55"/>
    <w:rsid w:val="18BD4821"/>
    <w:rsid w:val="18BD4BCA"/>
    <w:rsid w:val="18E7389A"/>
    <w:rsid w:val="18E76029"/>
    <w:rsid w:val="18ED5E3D"/>
    <w:rsid w:val="18EE56F7"/>
    <w:rsid w:val="18F03E0E"/>
    <w:rsid w:val="18F42310"/>
    <w:rsid w:val="192554E0"/>
    <w:rsid w:val="19473FD0"/>
    <w:rsid w:val="19605AFA"/>
    <w:rsid w:val="19657F6D"/>
    <w:rsid w:val="1977152F"/>
    <w:rsid w:val="197B02CD"/>
    <w:rsid w:val="19805FF1"/>
    <w:rsid w:val="199D453C"/>
    <w:rsid w:val="19A23D68"/>
    <w:rsid w:val="19B826B3"/>
    <w:rsid w:val="19F601D9"/>
    <w:rsid w:val="19F769D3"/>
    <w:rsid w:val="19FB751F"/>
    <w:rsid w:val="19FC7768"/>
    <w:rsid w:val="1A0A2869"/>
    <w:rsid w:val="1A1E3002"/>
    <w:rsid w:val="1A220AE6"/>
    <w:rsid w:val="1A25729E"/>
    <w:rsid w:val="1A366BA1"/>
    <w:rsid w:val="1A504CCF"/>
    <w:rsid w:val="1A6C5C57"/>
    <w:rsid w:val="1A6F5601"/>
    <w:rsid w:val="1A744F8C"/>
    <w:rsid w:val="1A7C68EA"/>
    <w:rsid w:val="1A837909"/>
    <w:rsid w:val="1A855C8D"/>
    <w:rsid w:val="1AA634A9"/>
    <w:rsid w:val="1ABA2E66"/>
    <w:rsid w:val="1AC05A34"/>
    <w:rsid w:val="1AC44ADC"/>
    <w:rsid w:val="1AC711F6"/>
    <w:rsid w:val="1B0571FA"/>
    <w:rsid w:val="1B27214C"/>
    <w:rsid w:val="1B332CB8"/>
    <w:rsid w:val="1B803BBF"/>
    <w:rsid w:val="1B8B3063"/>
    <w:rsid w:val="1BA41073"/>
    <w:rsid w:val="1BB12326"/>
    <w:rsid w:val="1BC214B2"/>
    <w:rsid w:val="1BDE7BEA"/>
    <w:rsid w:val="1BF9420E"/>
    <w:rsid w:val="1BFC2FA9"/>
    <w:rsid w:val="1BFE1010"/>
    <w:rsid w:val="1C10759D"/>
    <w:rsid w:val="1C1A51FE"/>
    <w:rsid w:val="1C24683E"/>
    <w:rsid w:val="1C271CCF"/>
    <w:rsid w:val="1C3B520A"/>
    <w:rsid w:val="1C414C05"/>
    <w:rsid w:val="1C6317E2"/>
    <w:rsid w:val="1C631C7D"/>
    <w:rsid w:val="1C756616"/>
    <w:rsid w:val="1C8820B6"/>
    <w:rsid w:val="1CA82F65"/>
    <w:rsid w:val="1CDB58B1"/>
    <w:rsid w:val="1CE67461"/>
    <w:rsid w:val="1CE9359C"/>
    <w:rsid w:val="1D1010FF"/>
    <w:rsid w:val="1D3D1E37"/>
    <w:rsid w:val="1D484021"/>
    <w:rsid w:val="1D4F710E"/>
    <w:rsid w:val="1D570338"/>
    <w:rsid w:val="1D5F247E"/>
    <w:rsid w:val="1D617BFB"/>
    <w:rsid w:val="1D636150"/>
    <w:rsid w:val="1D680B34"/>
    <w:rsid w:val="1DA32FDB"/>
    <w:rsid w:val="1DA83A86"/>
    <w:rsid w:val="1DBA59CF"/>
    <w:rsid w:val="1DC521F5"/>
    <w:rsid w:val="1DD83F47"/>
    <w:rsid w:val="1DD97940"/>
    <w:rsid w:val="1DDC6159"/>
    <w:rsid w:val="1DF810AD"/>
    <w:rsid w:val="1DF97F8A"/>
    <w:rsid w:val="1E262E07"/>
    <w:rsid w:val="1E3C1BB1"/>
    <w:rsid w:val="1E47676E"/>
    <w:rsid w:val="1E6B02FF"/>
    <w:rsid w:val="1E6F3F2D"/>
    <w:rsid w:val="1E8800D4"/>
    <w:rsid w:val="1E9419FC"/>
    <w:rsid w:val="1EB53C8D"/>
    <w:rsid w:val="1EB8608F"/>
    <w:rsid w:val="1EC46E97"/>
    <w:rsid w:val="1ECD0164"/>
    <w:rsid w:val="1ECD7CEF"/>
    <w:rsid w:val="1EE7304F"/>
    <w:rsid w:val="1EFA353F"/>
    <w:rsid w:val="1F001390"/>
    <w:rsid w:val="1F0501DC"/>
    <w:rsid w:val="1F0925C6"/>
    <w:rsid w:val="1F0D1617"/>
    <w:rsid w:val="1F257376"/>
    <w:rsid w:val="1F2B520A"/>
    <w:rsid w:val="1F3062A4"/>
    <w:rsid w:val="1F3165AE"/>
    <w:rsid w:val="1F5812AE"/>
    <w:rsid w:val="1F5854A2"/>
    <w:rsid w:val="1F7439D1"/>
    <w:rsid w:val="1F9006C6"/>
    <w:rsid w:val="1FA96BCB"/>
    <w:rsid w:val="1FBB11A5"/>
    <w:rsid w:val="1FBF6DC0"/>
    <w:rsid w:val="1FCC4EBF"/>
    <w:rsid w:val="1FE5168A"/>
    <w:rsid w:val="1FF2590F"/>
    <w:rsid w:val="20220CD2"/>
    <w:rsid w:val="20391023"/>
    <w:rsid w:val="204742F1"/>
    <w:rsid w:val="20607585"/>
    <w:rsid w:val="20746858"/>
    <w:rsid w:val="20A37686"/>
    <w:rsid w:val="20B36B11"/>
    <w:rsid w:val="20BC2EEB"/>
    <w:rsid w:val="20CA0136"/>
    <w:rsid w:val="20CF4473"/>
    <w:rsid w:val="20D52494"/>
    <w:rsid w:val="20E634BD"/>
    <w:rsid w:val="210F005E"/>
    <w:rsid w:val="2110273C"/>
    <w:rsid w:val="211533EE"/>
    <w:rsid w:val="21172380"/>
    <w:rsid w:val="216E5820"/>
    <w:rsid w:val="21716989"/>
    <w:rsid w:val="21755C49"/>
    <w:rsid w:val="21772191"/>
    <w:rsid w:val="217F2DAF"/>
    <w:rsid w:val="21831E63"/>
    <w:rsid w:val="21845A94"/>
    <w:rsid w:val="2196074F"/>
    <w:rsid w:val="219D6184"/>
    <w:rsid w:val="21A54D39"/>
    <w:rsid w:val="21C62722"/>
    <w:rsid w:val="21C87821"/>
    <w:rsid w:val="21EE0AB1"/>
    <w:rsid w:val="2217080C"/>
    <w:rsid w:val="22374D91"/>
    <w:rsid w:val="223B62EA"/>
    <w:rsid w:val="22541577"/>
    <w:rsid w:val="2259761E"/>
    <w:rsid w:val="225F01F3"/>
    <w:rsid w:val="2277502B"/>
    <w:rsid w:val="228A281B"/>
    <w:rsid w:val="22B10790"/>
    <w:rsid w:val="22B84861"/>
    <w:rsid w:val="22F61826"/>
    <w:rsid w:val="22F67137"/>
    <w:rsid w:val="2303587C"/>
    <w:rsid w:val="23204E36"/>
    <w:rsid w:val="23277236"/>
    <w:rsid w:val="233B02C4"/>
    <w:rsid w:val="239134A0"/>
    <w:rsid w:val="23A62692"/>
    <w:rsid w:val="23EB7376"/>
    <w:rsid w:val="23F56B5F"/>
    <w:rsid w:val="24012416"/>
    <w:rsid w:val="2427026A"/>
    <w:rsid w:val="24291985"/>
    <w:rsid w:val="242B41D2"/>
    <w:rsid w:val="243621B8"/>
    <w:rsid w:val="24396D3F"/>
    <w:rsid w:val="243B6CFC"/>
    <w:rsid w:val="243D627C"/>
    <w:rsid w:val="24446F5E"/>
    <w:rsid w:val="244A06B6"/>
    <w:rsid w:val="245F28F3"/>
    <w:rsid w:val="249C4DFF"/>
    <w:rsid w:val="24A01921"/>
    <w:rsid w:val="24F57FB0"/>
    <w:rsid w:val="25071817"/>
    <w:rsid w:val="253D39D7"/>
    <w:rsid w:val="255117F0"/>
    <w:rsid w:val="2559377F"/>
    <w:rsid w:val="25605396"/>
    <w:rsid w:val="257D5B07"/>
    <w:rsid w:val="25880FC8"/>
    <w:rsid w:val="259619D2"/>
    <w:rsid w:val="25A95CA2"/>
    <w:rsid w:val="25F60A6F"/>
    <w:rsid w:val="2628610C"/>
    <w:rsid w:val="262E264C"/>
    <w:rsid w:val="264915AC"/>
    <w:rsid w:val="26620AF1"/>
    <w:rsid w:val="26826830"/>
    <w:rsid w:val="268505B1"/>
    <w:rsid w:val="26B24609"/>
    <w:rsid w:val="26BD25E0"/>
    <w:rsid w:val="26C23578"/>
    <w:rsid w:val="26CE2105"/>
    <w:rsid w:val="26DA35DE"/>
    <w:rsid w:val="26E67735"/>
    <w:rsid w:val="26EB2A6B"/>
    <w:rsid w:val="270D1EC8"/>
    <w:rsid w:val="27192BAF"/>
    <w:rsid w:val="272C5CFD"/>
    <w:rsid w:val="272F36A6"/>
    <w:rsid w:val="27340A89"/>
    <w:rsid w:val="275279FD"/>
    <w:rsid w:val="27553B88"/>
    <w:rsid w:val="277272C2"/>
    <w:rsid w:val="27886A48"/>
    <w:rsid w:val="279162CA"/>
    <w:rsid w:val="27BE50BC"/>
    <w:rsid w:val="27C104B2"/>
    <w:rsid w:val="27DF4B9E"/>
    <w:rsid w:val="27ED1463"/>
    <w:rsid w:val="27EE5EE8"/>
    <w:rsid w:val="27FB3CDB"/>
    <w:rsid w:val="281C09F5"/>
    <w:rsid w:val="287E5D40"/>
    <w:rsid w:val="2888533C"/>
    <w:rsid w:val="289F246E"/>
    <w:rsid w:val="28B724B7"/>
    <w:rsid w:val="28C75698"/>
    <w:rsid w:val="28D410B5"/>
    <w:rsid w:val="28D452BF"/>
    <w:rsid w:val="28D621B4"/>
    <w:rsid w:val="28DE7922"/>
    <w:rsid w:val="28E0493E"/>
    <w:rsid w:val="29451D63"/>
    <w:rsid w:val="294C5F08"/>
    <w:rsid w:val="29576D39"/>
    <w:rsid w:val="29642B69"/>
    <w:rsid w:val="297352A3"/>
    <w:rsid w:val="2974115F"/>
    <w:rsid w:val="297E6C52"/>
    <w:rsid w:val="29855280"/>
    <w:rsid w:val="298760A4"/>
    <w:rsid w:val="29A02E03"/>
    <w:rsid w:val="29A4225D"/>
    <w:rsid w:val="29C838E3"/>
    <w:rsid w:val="2A2E5C6B"/>
    <w:rsid w:val="2A4E4E8E"/>
    <w:rsid w:val="2A502719"/>
    <w:rsid w:val="2A590FDC"/>
    <w:rsid w:val="2A82341C"/>
    <w:rsid w:val="2A904C36"/>
    <w:rsid w:val="2A9C49AF"/>
    <w:rsid w:val="2AA439E9"/>
    <w:rsid w:val="2ABA4796"/>
    <w:rsid w:val="2B1266A8"/>
    <w:rsid w:val="2B175DE5"/>
    <w:rsid w:val="2B274123"/>
    <w:rsid w:val="2B4F28C7"/>
    <w:rsid w:val="2B8565D2"/>
    <w:rsid w:val="2B90554D"/>
    <w:rsid w:val="2BCA47CF"/>
    <w:rsid w:val="2BCD6851"/>
    <w:rsid w:val="2BE30358"/>
    <w:rsid w:val="2BE54640"/>
    <w:rsid w:val="2BFB6DBB"/>
    <w:rsid w:val="2C0A6AB3"/>
    <w:rsid w:val="2C3A5206"/>
    <w:rsid w:val="2C45750E"/>
    <w:rsid w:val="2C572793"/>
    <w:rsid w:val="2C5A594E"/>
    <w:rsid w:val="2C694A20"/>
    <w:rsid w:val="2C6B38A4"/>
    <w:rsid w:val="2C7E3F31"/>
    <w:rsid w:val="2C8D5DA2"/>
    <w:rsid w:val="2CAB3D36"/>
    <w:rsid w:val="2CB37FAA"/>
    <w:rsid w:val="2CBF70B5"/>
    <w:rsid w:val="2CC11F92"/>
    <w:rsid w:val="2CEF54AB"/>
    <w:rsid w:val="2CFC5748"/>
    <w:rsid w:val="2D394BA9"/>
    <w:rsid w:val="2D3C733A"/>
    <w:rsid w:val="2D4470A4"/>
    <w:rsid w:val="2D45573C"/>
    <w:rsid w:val="2D4A55F2"/>
    <w:rsid w:val="2D617DD1"/>
    <w:rsid w:val="2D9E64C8"/>
    <w:rsid w:val="2DBA64B3"/>
    <w:rsid w:val="2DFF1111"/>
    <w:rsid w:val="2E172160"/>
    <w:rsid w:val="2E4A0B44"/>
    <w:rsid w:val="2E5717FD"/>
    <w:rsid w:val="2E5B3B6F"/>
    <w:rsid w:val="2E5B3F54"/>
    <w:rsid w:val="2E981E71"/>
    <w:rsid w:val="2E9F6EF4"/>
    <w:rsid w:val="2EB80492"/>
    <w:rsid w:val="2EB8735F"/>
    <w:rsid w:val="2ECF758D"/>
    <w:rsid w:val="2F0B1041"/>
    <w:rsid w:val="2F0B6216"/>
    <w:rsid w:val="2F1808D1"/>
    <w:rsid w:val="2F181E72"/>
    <w:rsid w:val="2F1D47CE"/>
    <w:rsid w:val="2F3110B3"/>
    <w:rsid w:val="2F452FF4"/>
    <w:rsid w:val="2F584114"/>
    <w:rsid w:val="2F7D4409"/>
    <w:rsid w:val="2F8145D3"/>
    <w:rsid w:val="2F9F2340"/>
    <w:rsid w:val="2FA6400C"/>
    <w:rsid w:val="2FFE4145"/>
    <w:rsid w:val="3034183F"/>
    <w:rsid w:val="30661CF1"/>
    <w:rsid w:val="306D1788"/>
    <w:rsid w:val="306D3203"/>
    <w:rsid w:val="30D60E5D"/>
    <w:rsid w:val="30E105C4"/>
    <w:rsid w:val="30EF03B1"/>
    <w:rsid w:val="30EF22D9"/>
    <w:rsid w:val="30F63E82"/>
    <w:rsid w:val="31082B61"/>
    <w:rsid w:val="313D58C9"/>
    <w:rsid w:val="31454B11"/>
    <w:rsid w:val="3155386C"/>
    <w:rsid w:val="316929F7"/>
    <w:rsid w:val="317F4058"/>
    <w:rsid w:val="318B6725"/>
    <w:rsid w:val="31A31EAD"/>
    <w:rsid w:val="31AA2226"/>
    <w:rsid w:val="31CF2007"/>
    <w:rsid w:val="31FE7690"/>
    <w:rsid w:val="32112458"/>
    <w:rsid w:val="322E6F51"/>
    <w:rsid w:val="324F0EF5"/>
    <w:rsid w:val="324F6EB7"/>
    <w:rsid w:val="32584528"/>
    <w:rsid w:val="32592F16"/>
    <w:rsid w:val="3262745A"/>
    <w:rsid w:val="32636AD2"/>
    <w:rsid w:val="32721B0E"/>
    <w:rsid w:val="32970A2C"/>
    <w:rsid w:val="32B3219A"/>
    <w:rsid w:val="32B7368C"/>
    <w:rsid w:val="32B83CB3"/>
    <w:rsid w:val="32D67CED"/>
    <w:rsid w:val="32E235F8"/>
    <w:rsid w:val="33196B67"/>
    <w:rsid w:val="33305F52"/>
    <w:rsid w:val="335830D7"/>
    <w:rsid w:val="33682FFD"/>
    <w:rsid w:val="33770197"/>
    <w:rsid w:val="337B0E24"/>
    <w:rsid w:val="33853386"/>
    <w:rsid w:val="33B14A93"/>
    <w:rsid w:val="33B34D77"/>
    <w:rsid w:val="33BE0E14"/>
    <w:rsid w:val="33C1005F"/>
    <w:rsid w:val="33EA66A0"/>
    <w:rsid w:val="33FF27B7"/>
    <w:rsid w:val="34162F6D"/>
    <w:rsid w:val="342221DE"/>
    <w:rsid w:val="3432211E"/>
    <w:rsid w:val="34323397"/>
    <w:rsid w:val="347D66F2"/>
    <w:rsid w:val="34894EAB"/>
    <w:rsid w:val="34B51458"/>
    <w:rsid w:val="34ED7FC7"/>
    <w:rsid w:val="35036A07"/>
    <w:rsid w:val="35065940"/>
    <w:rsid w:val="35153B8C"/>
    <w:rsid w:val="355E3BC7"/>
    <w:rsid w:val="35626B04"/>
    <w:rsid w:val="356928AF"/>
    <w:rsid w:val="357439E5"/>
    <w:rsid w:val="358F1937"/>
    <w:rsid w:val="359046E4"/>
    <w:rsid w:val="35B31612"/>
    <w:rsid w:val="35B93C2E"/>
    <w:rsid w:val="35C76CCF"/>
    <w:rsid w:val="35F20B4B"/>
    <w:rsid w:val="35FF1579"/>
    <w:rsid w:val="36020A1A"/>
    <w:rsid w:val="361F419A"/>
    <w:rsid w:val="364515BB"/>
    <w:rsid w:val="36511EE8"/>
    <w:rsid w:val="366F5BA1"/>
    <w:rsid w:val="368501EF"/>
    <w:rsid w:val="368D45FC"/>
    <w:rsid w:val="36BE20AD"/>
    <w:rsid w:val="36CA50CF"/>
    <w:rsid w:val="36F527A3"/>
    <w:rsid w:val="37084BC6"/>
    <w:rsid w:val="37155C2B"/>
    <w:rsid w:val="371C2D15"/>
    <w:rsid w:val="371D2C0A"/>
    <w:rsid w:val="373B204D"/>
    <w:rsid w:val="37452B8A"/>
    <w:rsid w:val="374F3102"/>
    <w:rsid w:val="377D0D7F"/>
    <w:rsid w:val="37855EDA"/>
    <w:rsid w:val="378754E9"/>
    <w:rsid w:val="37CD473B"/>
    <w:rsid w:val="37EA3E36"/>
    <w:rsid w:val="38023705"/>
    <w:rsid w:val="382055B0"/>
    <w:rsid w:val="382A44EF"/>
    <w:rsid w:val="384617D8"/>
    <w:rsid w:val="38495F16"/>
    <w:rsid w:val="384F2F62"/>
    <w:rsid w:val="38595D19"/>
    <w:rsid w:val="38764AB1"/>
    <w:rsid w:val="387F1AE4"/>
    <w:rsid w:val="388D1752"/>
    <w:rsid w:val="38953D97"/>
    <w:rsid w:val="389A4653"/>
    <w:rsid w:val="389F61A3"/>
    <w:rsid w:val="38EE7BF2"/>
    <w:rsid w:val="38F3735A"/>
    <w:rsid w:val="38FB0083"/>
    <w:rsid w:val="38FF3F5B"/>
    <w:rsid w:val="3909330F"/>
    <w:rsid w:val="390F7819"/>
    <w:rsid w:val="394B49B4"/>
    <w:rsid w:val="398E6CC1"/>
    <w:rsid w:val="399666EE"/>
    <w:rsid w:val="39CE04D5"/>
    <w:rsid w:val="39E57AF8"/>
    <w:rsid w:val="3A1453D1"/>
    <w:rsid w:val="3A261032"/>
    <w:rsid w:val="3A2F466A"/>
    <w:rsid w:val="3A330429"/>
    <w:rsid w:val="3A410819"/>
    <w:rsid w:val="3A494F47"/>
    <w:rsid w:val="3A5C71F9"/>
    <w:rsid w:val="3A6D0DF5"/>
    <w:rsid w:val="3A8E4242"/>
    <w:rsid w:val="3AB06CA6"/>
    <w:rsid w:val="3AE138A5"/>
    <w:rsid w:val="3AE82590"/>
    <w:rsid w:val="3B0529DF"/>
    <w:rsid w:val="3B053371"/>
    <w:rsid w:val="3B2A3B26"/>
    <w:rsid w:val="3B384E25"/>
    <w:rsid w:val="3B3871FB"/>
    <w:rsid w:val="3B3C5037"/>
    <w:rsid w:val="3B534644"/>
    <w:rsid w:val="3B58795F"/>
    <w:rsid w:val="3B603FF1"/>
    <w:rsid w:val="3B6777AF"/>
    <w:rsid w:val="3B6823BF"/>
    <w:rsid w:val="3B753C47"/>
    <w:rsid w:val="3B7C24E2"/>
    <w:rsid w:val="3B7D7622"/>
    <w:rsid w:val="3B8260D7"/>
    <w:rsid w:val="3B945F01"/>
    <w:rsid w:val="3B972E4D"/>
    <w:rsid w:val="3BA6390A"/>
    <w:rsid w:val="3BCA0C2E"/>
    <w:rsid w:val="3BDD59BD"/>
    <w:rsid w:val="3BEA3100"/>
    <w:rsid w:val="3C03449A"/>
    <w:rsid w:val="3C135014"/>
    <w:rsid w:val="3C270D42"/>
    <w:rsid w:val="3C277E9B"/>
    <w:rsid w:val="3C3E49A1"/>
    <w:rsid w:val="3C595870"/>
    <w:rsid w:val="3C6E6270"/>
    <w:rsid w:val="3C8C0204"/>
    <w:rsid w:val="3CAA0D29"/>
    <w:rsid w:val="3CBC7116"/>
    <w:rsid w:val="3CD65AA2"/>
    <w:rsid w:val="3D10688C"/>
    <w:rsid w:val="3D1135C3"/>
    <w:rsid w:val="3D1517AD"/>
    <w:rsid w:val="3D424C1D"/>
    <w:rsid w:val="3D634FE0"/>
    <w:rsid w:val="3D6B69DA"/>
    <w:rsid w:val="3D9D2E00"/>
    <w:rsid w:val="3D9F6F76"/>
    <w:rsid w:val="3DB4531C"/>
    <w:rsid w:val="3DBA3A7A"/>
    <w:rsid w:val="3DE05F03"/>
    <w:rsid w:val="3DF454E6"/>
    <w:rsid w:val="3DFB0200"/>
    <w:rsid w:val="3E027E2A"/>
    <w:rsid w:val="3E033B47"/>
    <w:rsid w:val="3E1A6FB9"/>
    <w:rsid w:val="3E1D6E0F"/>
    <w:rsid w:val="3E24004A"/>
    <w:rsid w:val="3E3614CB"/>
    <w:rsid w:val="3E4D4DE9"/>
    <w:rsid w:val="3E5E243B"/>
    <w:rsid w:val="3E9E529C"/>
    <w:rsid w:val="3EAA5E15"/>
    <w:rsid w:val="3EDC34C0"/>
    <w:rsid w:val="3EE85E11"/>
    <w:rsid w:val="3EF3632D"/>
    <w:rsid w:val="3F05141F"/>
    <w:rsid w:val="3F0856B3"/>
    <w:rsid w:val="3F4A0CAA"/>
    <w:rsid w:val="3F4E64F6"/>
    <w:rsid w:val="3F63465E"/>
    <w:rsid w:val="3F73436F"/>
    <w:rsid w:val="3F7A25D3"/>
    <w:rsid w:val="3F8C028C"/>
    <w:rsid w:val="3F9B2C0C"/>
    <w:rsid w:val="3FCF5B5D"/>
    <w:rsid w:val="3FEB10CC"/>
    <w:rsid w:val="3FFC7D0A"/>
    <w:rsid w:val="400F7C7C"/>
    <w:rsid w:val="40365D23"/>
    <w:rsid w:val="403A1B59"/>
    <w:rsid w:val="403C647E"/>
    <w:rsid w:val="4043462A"/>
    <w:rsid w:val="405061A7"/>
    <w:rsid w:val="406D49D9"/>
    <w:rsid w:val="40742FFC"/>
    <w:rsid w:val="408F507F"/>
    <w:rsid w:val="409D34FF"/>
    <w:rsid w:val="4138761F"/>
    <w:rsid w:val="413D3C14"/>
    <w:rsid w:val="41433310"/>
    <w:rsid w:val="414E0072"/>
    <w:rsid w:val="41525913"/>
    <w:rsid w:val="41720FB5"/>
    <w:rsid w:val="418251BE"/>
    <w:rsid w:val="418720AF"/>
    <w:rsid w:val="41873492"/>
    <w:rsid w:val="41983305"/>
    <w:rsid w:val="419B7235"/>
    <w:rsid w:val="41A81784"/>
    <w:rsid w:val="41AE5EAA"/>
    <w:rsid w:val="41DB5850"/>
    <w:rsid w:val="41F00E59"/>
    <w:rsid w:val="421E4BD1"/>
    <w:rsid w:val="422A36C7"/>
    <w:rsid w:val="42630DA1"/>
    <w:rsid w:val="42641A3D"/>
    <w:rsid w:val="4269309B"/>
    <w:rsid w:val="427B365F"/>
    <w:rsid w:val="42B45C27"/>
    <w:rsid w:val="42C9292C"/>
    <w:rsid w:val="42D04A44"/>
    <w:rsid w:val="42D56F9F"/>
    <w:rsid w:val="42DF1AD9"/>
    <w:rsid w:val="42EC50F7"/>
    <w:rsid w:val="430D77EC"/>
    <w:rsid w:val="430E50B4"/>
    <w:rsid w:val="43175369"/>
    <w:rsid w:val="4319059B"/>
    <w:rsid w:val="431A60F4"/>
    <w:rsid w:val="432B5AAF"/>
    <w:rsid w:val="433141EA"/>
    <w:rsid w:val="433B0A99"/>
    <w:rsid w:val="43415CBB"/>
    <w:rsid w:val="43472C8D"/>
    <w:rsid w:val="438E552B"/>
    <w:rsid w:val="43A42021"/>
    <w:rsid w:val="43A929A4"/>
    <w:rsid w:val="43AB5751"/>
    <w:rsid w:val="43CF4631"/>
    <w:rsid w:val="43F102D7"/>
    <w:rsid w:val="44004560"/>
    <w:rsid w:val="44336BF9"/>
    <w:rsid w:val="443F5F61"/>
    <w:rsid w:val="444C5865"/>
    <w:rsid w:val="445357E4"/>
    <w:rsid w:val="4454402C"/>
    <w:rsid w:val="44BB2FE8"/>
    <w:rsid w:val="44FD4EB9"/>
    <w:rsid w:val="45274490"/>
    <w:rsid w:val="452D17E5"/>
    <w:rsid w:val="453A206E"/>
    <w:rsid w:val="455D4C3B"/>
    <w:rsid w:val="45BD1BC2"/>
    <w:rsid w:val="45DF716B"/>
    <w:rsid w:val="45F4098A"/>
    <w:rsid w:val="46024AC4"/>
    <w:rsid w:val="46075D2E"/>
    <w:rsid w:val="46140E38"/>
    <w:rsid w:val="461C10E6"/>
    <w:rsid w:val="465849A3"/>
    <w:rsid w:val="4670052A"/>
    <w:rsid w:val="46744B0C"/>
    <w:rsid w:val="46806397"/>
    <w:rsid w:val="46876328"/>
    <w:rsid w:val="46C22E17"/>
    <w:rsid w:val="46D8560B"/>
    <w:rsid w:val="46FD62C4"/>
    <w:rsid w:val="471B0195"/>
    <w:rsid w:val="47236FB6"/>
    <w:rsid w:val="47384256"/>
    <w:rsid w:val="475A2E96"/>
    <w:rsid w:val="47726FDF"/>
    <w:rsid w:val="47B45146"/>
    <w:rsid w:val="47EB4DA8"/>
    <w:rsid w:val="47F23F56"/>
    <w:rsid w:val="481A267C"/>
    <w:rsid w:val="482B0AAA"/>
    <w:rsid w:val="483870CD"/>
    <w:rsid w:val="48634F91"/>
    <w:rsid w:val="487F5760"/>
    <w:rsid w:val="48AE6D43"/>
    <w:rsid w:val="48BE17AB"/>
    <w:rsid w:val="48CE566A"/>
    <w:rsid w:val="48DC5396"/>
    <w:rsid w:val="48DF0C05"/>
    <w:rsid w:val="48E80774"/>
    <w:rsid w:val="48EB3F62"/>
    <w:rsid w:val="48F95D4A"/>
    <w:rsid w:val="492505BB"/>
    <w:rsid w:val="492D5663"/>
    <w:rsid w:val="493D1423"/>
    <w:rsid w:val="493D48DD"/>
    <w:rsid w:val="494A5A26"/>
    <w:rsid w:val="49745095"/>
    <w:rsid w:val="499E3730"/>
    <w:rsid w:val="49C559AB"/>
    <w:rsid w:val="49C95B21"/>
    <w:rsid w:val="49D12DF0"/>
    <w:rsid w:val="49F91C5C"/>
    <w:rsid w:val="4A291D2B"/>
    <w:rsid w:val="4A363E61"/>
    <w:rsid w:val="4A3C27ED"/>
    <w:rsid w:val="4A4044C6"/>
    <w:rsid w:val="4A4D0122"/>
    <w:rsid w:val="4A7847F7"/>
    <w:rsid w:val="4A7B115E"/>
    <w:rsid w:val="4A8703C7"/>
    <w:rsid w:val="4A8A51FB"/>
    <w:rsid w:val="4A95686F"/>
    <w:rsid w:val="4A9645E8"/>
    <w:rsid w:val="4A9D2D30"/>
    <w:rsid w:val="4ABA30E2"/>
    <w:rsid w:val="4ACF08BC"/>
    <w:rsid w:val="4B16357D"/>
    <w:rsid w:val="4B1F6267"/>
    <w:rsid w:val="4B2D4AD8"/>
    <w:rsid w:val="4B2F407E"/>
    <w:rsid w:val="4B3F3201"/>
    <w:rsid w:val="4B456DD3"/>
    <w:rsid w:val="4B48707C"/>
    <w:rsid w:val="4B7A5E61"/>
    <w:rsid w:val="4B8A3569"/>
    <w:rsid w:val="4BA20262"/>
    <w:rsid w:val="4BAC7C3C"/>
    <w:rsid w:val="4BC04FF6"/>
    <w:rsid w:val="4BC67D6D"/>
    <w:rsid w:val="4BC9348E"/>
    <w:rsid w:val="4BD47618"/>
    <w:rsid w:val="4BEA0A37"/>
    <w:rsid w:val="4BF41C72"/>
    <w:rsid w:val="4C63494F"/>
    <w:rsid w:val="4C6D65A0"/>
    <w:rsid w:val="4C855247"/>
    <w:rsid w:val="4C906F9E"/>
    <w:rsid w:val="4C9515AA"/>
    <w:rsid w:val="4C986626"/>
    <w:rsid w:val="4CB845F9"/>
    <w:rsid w:val="4CBA3568"/>
    <w:rsid w:val="4CCA10ED"/>
    <w:rsid w:val="4D0E5BE2"/>
    <w:rsid w:val="4D21249D"/>
    <w:rsid w:val="4D2D67D8"/>
    <w:rsid w:val="4D427BFA"/>
    <w:rsid w:val="4D4F4D26"/>
    <w:rsid w:val="4D8A07EF"/>
    <w:rsid w:val="4D8C7811"/>
    <w:rsid w:val="4D9349F9"/>
    <w:rsid w:val="4DA632BB"/>
    <w:rsid w:val="4DAC6F21"/>
    <w:rsid w:val="4DD054CE"/>
    <w:rsid w:val="4DD24A95"/>
    <w:rsid w:val="4DDF0225"/>
    <w:rsid w:val="4DF15D0E"/>
    <w:rsid w:val="4DF57C23"/>
    <w:rsid w:val="4E1435A5"/>
    <w:rsid w:val="4E3A61F4"/>
    <w:rsid w:val="4E4542F6"/>
    <w:rsid w:val="4E55753A"/>
    <w:rsid w:val="4E6C6AC5"/>
    <w:rsid w:val="4E826F63"/>
    <w:rsid w:val="4EA01968"/>
    <w:rsid w:val="4EA52A69"/>
    <w:rsid w:val="4EE3274B"/>
    <w:rsid w:val="4F064F79"/>
    <w:rsid w:val="4F0762C1"/>
    <w:rsid w:val="4F111F56"/>
    <w:rsid w:val="4F263335"/>
    <w:rsid w:val="4F276E6D"/>
    <w:rsid w:val="4F431596"/>
    <w:rsid w:val="4F531979"/>
    <w:rsid w:val="4F64603C"/>
    <w:rsid w:val="4F871206"/>
    <w:rsid w:val="4F8E29B6"/>
    <w:rsid w:val="504339B8"/>
    <w:rsid w:val="50463D80"/>
    <w:rsid w:val="505B2249"/>
    <w:rsid w:val="507F2B2A"/>
    <w:rsid w:val="508A6C4E"/>
    <w:rsid w:val="508B39FD"/>
    <w:rsid w:val="509358BB"/>
    <w:rsid w:val="50C94400"/>
    <w:rsid w:val="50DD0102"/>
    <w:rsid w:val="50E452E7"/>
    <w:rsid w:val="511519BC"/>
    <w:rsid w:val="5119258E"/>
    <w:rsid w:val="511F67D9"/>
    <w:rsid w:val="513E01EA"/>
    <w:rsid w:val="5140482B"/>
    <w:rsid w:val="5142510F"/>
    <w:rsid w:val="51523252"/>
    <w:rsid w:val="515326E1"/>
    <w:rsid w:val="5174485D"/>
    <w:rsid w:val="517475D0"/>
    <w:rsid w:val="51995E48"/>
    <w:rsid w:val="519C5943"/>
    <w:rsid w:val="519F6E6A"/>
    <w:rsid w:val="51A01C4E"/>
    <w:rsid w:val="51A47835"/>
    <w:rsid w:val="51AB2CE9"/>
    <w:rsid w:val="51AD0A95"/>
    <w:rsid w:val="51B92562"/>
    <w:rsid w:val="51E30CFF"/>
    <w:rsid w:val="52060559"/>
    <w:rsid w:val="522D1664"/>
    <w:rsid w:val="5234722C"/>
    <w:rsid w:val="523764A8"/>
    <w:rsid w:val="524900A6"/>
    <w:rsid w:val="52495D5B"/>
    <w:rsid w:val="52564548"/>
    <w:rsid w:val="52772B62"/>
    <w:rsid w:val="52831CCF"/>
    <w:rsid w:val="528B60F7"/>
    <w:rsid w:val="52950DCB"/>
    <w:rsid w:val="52A3620B"/>
    <w:rsid w:val="52AB77AF"/>
    <w:rsid w:val="52C8588B"/>
    <w:rsid w:val="52C962AE"/>
    <w:rsid w:val="52D321D1"/>
    <w:rsid w:val="52E73C9F"/>
    <w:rsid w:val="52F204E4"/>
    <w:rsid w:val="52F46803"/>
    <w:rsid w:val="52FC5837"/>
    <w:rsid w:val="52FE057D"/>
    <w:rsid w:val="53030974"/>
    <w:rsid w:val="53125BFD"/>
    <w:rsid w:val="53224CD7"/>
    <w:rsid w:val="532C150D"/>
    <w:rsid w:val="532C238B"/>
    <w:rsid w:val="536A6B20"/>
    <w:rsid w:val="53E42E3C"/>
    <w:rsid w:val="53E655B7"/>
    <w:rsid w:val="53F34324"/>
    <w:rsid w:val="54186A32"/>
    <w:rsid w:val="543119C7"/>
    <w:rsid w:val="54444FBE"/>
    <w:rsid w:val="54453446"/>
    <w:rsid w:val="54485425"/>
    <w:rsid w:val="544E1BD3"/>
    <w:rsid w:val="54537815"/>
    <w:rsid w:val="546E5665"/>
    <w:rsid w:val="54847C13"/>
    <w:rsid w:val="54852424"/>
    <w:rsid w:val="54907319"/>
    <w:rsid w:val="54907FBA"/>
    <w:rsid w:val="54A50CF1"/>
    <w:rsid w:val="54B2306E"/>
    <w:rsid w:val="54B70FF5"/>
    <w:rsid w:val="54C531FA"/>
    <w:rsid w:val="54DE7741"/>
    <w:rsid w:val="54E104D3"/>
    <w:rsid w:val="54F738CA"/>
    <w:rsid w:val="550408DC"/>
    <w:rsid w:val="552D2C26"/>
    <w:rsid w:val="554A11E2"/>
    <w:rsid w:val="557932DF"/>
    <w:rsid w:val="558B114B"/>
    <w:rsid w:val="558F3AA3"/>
    <w:rsid w:val="559D6A44"/>
    <w:rsid w:val="559F7F84"/>
    <w:rsid w:val="55AA19DE"/>
    <w:rsid w:val="55AA70CA"/>
    <w:rsid w:val="55B84823"/>
    <w:rsid w:val="55D703C3"/>
    <w:rsid w:val="55DC6910"/>
    <w:rsid w:val="55F074CD"/>
    <w:rsid w:val="55FA4BEC"/>
    <w:rsid w:val="56034461"/>
    <w:rsid w:val="560B4A31"/>
    <w:rsid w:val="56170515"/>
    <w:rsid w:val="562174F4"/>
    <w:rsid w:val="5623284F"/>
    <w:rsid w:val="565B4BB4"/>
    <w:rsid w:val="56612BAA"/>
    <w:rsid w:val="56637E1A"/>
    <w:rsid w:val="56652E55"/>
    <w:rsid w:val="566B6957"/>
    <w:rsid w:val="568457E5"/>
    <w:rsid w:val="56941CC2"/>
    <w:rsid w:val="569867A7"/>
    <w:rsid w:val="569F0AC5"/>
    <w:rsid w:val="56AE3442"/>
    <w:rsid w:val="56BD0831"/>
    <w:rsid w:val="56D01866"/>
    <w:rsid w:val="56D80B2D"/>
    <w:rsid w:val="56E437AA"/>
    <w:rsid w:val="56F05440"/>
    <w:rsid w:val="56F959FD"/>
    <w:rsid w:val="57050774"/>
    <w:rsid w:val="570A19A0"/>
    <w:rsid w:val="570D7AB4"/>
    <w:rsid w:val="5710042A"/>
    <w:rsid w:val="572007C0"/>
    <w:rsid w:val="57212510"/>
    <w:rsid w:val="57217EC7"/>
    <w:rsid w:val="5734603B"/>
    <w:rsid w:val="573F46A6"/>
    <w:rsid w:val="574612AD"/>
    <w:rsid w:val="57533CF8"/>
    <w:rsid w:val="57636436"/>
    <w:rsid w:val="576524FF"/>
    <w:rsid w:val="577A29FA"/>
    <w:rsid w:val="578506E8"/>
    <w:rsid w:val="57A343F5"/>
    <w:rsid w:val="580C77B4"/>
    <w:rsid w:val="5815573C"/>
    <w:rsid w:val="58216034"/>
    <w:rsid w:val="5828241F"/>
    <w:rsid w:val="582A60AF"/>
    <w:rsid w:val="58334AE7"/>
    <w:rsid w:val="58854A19"/>
    <w:rsid w:val="589E4681"/>
    <w:rsid w:val="58BE3483"/>
    <w:rsid w:val="58C934FD"/>
    <w:rsid w:val="58EA38FD"/>
    <w:rsid w:val="59053CF6"/>
    <w:rsid w:val="590E1D49"/>
    <w:rsid w:val="590E2DDD"/>
    <w:rsid w:val="59141748"/>
    <w:rsid w:val="5919233C"/>
    <w:rsid w:val="59225BB5"/>
    <w:rsid w:val="592829C8"/>
    <w:rsid w:val="593B0E31"/>
    <w:rsid w:val="593D4AF7"/>
    <w:rsid w:val="593F6295"/>
    <w:rsid w:val="594814C4"/>
    <w:rsid w:val="5949037D"/>
    <w:rsid w:val="59634B04"/>
    <w:rsid w:val="598C5AA3"/>
    <w:rsid w:val="59EE5115"/>
    <w:rsid w:val="59F017DC"/>
    <w:rsid w:val="5A004E48"/>
    <w:rsid w:val="5A0B1331"/>
    <w:rsid w:val="5A190E4A"/>
    <w:rsid w:val="5A1A5237"/>
    <w:rsid w:val="5A3C53D0"/>
    <w:rsid w:val="5A6258A2"/>
    <w:rsid w:val="5A6E4062"/>
    <w:rsid w:val="5A7549A2"/>
    <w:rsid w:val="5A922F95"/>
    <w:rsid w:val="5AB67429"/>
    <w:rsid w:val="5ACA191A"/>
    <w:rsid w:val="5AE3116C"/>
    <w:rsid w:val="5AEC3C2E"/>
    <w:rsid w:val="5AF807D0"/>
    <w:rsid w:val="5AFC13F2"/>
    <w:rsid w:val="5B0A77BC"/>
    <w:rsid w:val="5B1F3D6B"/>
    <w:rsid w:val="5B247C90"/>
    <w:rsid w:val="5B301727"/>
    <w:rsid w:val="5B4C3C63"/>
    <w:rsid w:val="5B662551"/>
    <w:rsid w:val="5B9D7FCF"/>
    <w:rsid w:val="5BA41CE2"/>
    <w:rsid w:val="5BDA0BA2"/>
    <w:rsid w:val="5BF27D9C"/>
    <w:rsid w:val="5C024724"/>
    <w:rsid w:val="5C4306EF"/>
    <w:rsid w:val="5C511607"/>
    <w:rsid w:val="5C5766F6"/>
    <w:rsid w:val="5C75522A"/>
    <w:rsid w:val="5C8A4D88"/>
    <w:rsid w:val="5C93352E"/>
    <w:rsid w:val="5C994319"/>
    <w:rsid w:val="5CAE510C"/>
    <w:rsid w:val="5CBA175E"/>
    <w:rsid w:val="5CC333E6"/>
    <w:rsid w:val="5CC80971"/>
    <w:rsid w:val="5D365590"/>
    <w:rsid w:val="5D5A28A2"/>
    <w:rsid w:val="5D6C16D9"/>
    <w:rsid w:val="5D8F7D11"/>
    <w:rsid w:val="5DC465EB"/>
    <w:rsid w:val="5DCD18A2"/>
    <w:rsid w:val="5DD5589B"/>
    <w:rsid w:val="5DDD72B5"/>
    <w:rsid w:val="5DE84E83"/>
    <w:rsid w:val="5DEB4D02"/>
    <w:rsid w:val="5E0A4E9B"/>
    <w:rsid w:val="5E0F3AA1"/>
    <w:rsid w:val="5E135403"/>
    <w:rsid w:val="5E190D09"/>
    <w:rsid w:val="5E1B6B04"/>
    <w:rsid w:val="5E221FE4"/>
    <w:rsid w:val="5E325BA0"/>
    <w:rsid w:val="5E4F00CE"/>
    <w:rsid w:val="5E675E18"/>
    <w:rsid w:val="5E7827A7"/>
    <w:rsid w:val="5E825BEE"/>
    <w:rsid w:val="5E880A7A"/>
    <w:rsid w:val="5E8926FE"/>
    <w:rsid w:val="5E925F2D"/>
    <w:rsid w:val="5EAE15CA"/>
    <w:rsid w:val="5ED4726E"/>
    <w:rsid w:val="5ED73FD2"/>
    <w:rsid w:val="5EDB506A"/>
    <w:rsid w:val="5EDD0B3E"/>
    <w:rsid w:val="5EDF69B5"/>
    <w:rsid w:val="5EFB74EC"/>
    <w:rsid w:val="5F2926AC"/>
    <w:rsid w:val="5F493029"/>
    <w:rsid w:val="5F4C240D"/>
    <w:rsid w:val="5F583856"/>
    <w:rsid w:val="5F767A15"/>
    <w:rsid w:val="5F876D16"/>
    <w:rsid w:val="5FB6052A"/>
    <w:rsid w:val="5FB81937"/>
    <w:rsid w:val="5FBD4E46"/>
    <w:rsid w:val="5FBE70A5"/>
    <w:rsid w:val="5FE66671"/>
    <w:rsid w:val="60421112"/>
    <w:rsid w:val="6074713B"/>
    <w:rsid w:val="6082731B"/>
    <w:rsid w:val="60A929D9"/>
    <w:rsid w:val="60BE5A50"/>
    <w:rsid w:val="60F13330"/>
    <w:rsid w:val="61003431"/>
    <w:rsid w:val="610C0611"/>
    <w:rsid w:val="610C5826"/>
    <w:rsid w:val="61352621"/>
    <w:rsid w:val="61360BD7"/>
    <w:rsid w:val="613A3E71"/>
    <w:rsid w:val="61467E34"/>
    <w:rsid w:val="614A625D"/>
    <w:rsid w:val="615922E6"/>
    <w:rsid w:val="61701860"/>
    <w:rsid w:val="617978A6"/>
    <w:rsid w:val="617C7568"/>
    <w:rsid w:val="61A20606"/>
    <w:rsid w:val="61BE497F"/>
    <w:rsid w:val="61C134D5"/>
    <w:rsid w:val="61CC7B19"/>
    <w:rsid w:val="61DE3438"/>
    <w:rsid w:val="62024C2A"/>
    <w:rsid w:val="62151735"/>
    <w:rsid w:val="621C7A93"/>
    <w:rsid w:val="62227661"/>
    <w:rsid w:val="622A026E"/>
    <w:rsid w:val="62315D3F"/>
    <w:rsid w:val="623E51B7"/>
    <w:rsid w:val="62494A60"/>
    <w:rsid w:val="62513743"/>
    <w:rsid w:val="625521CF"/>
    <w:rsid w:val="6268390B"/>
    <w:rsid w:val="628E5404"/>
    <w:rsid w:val="62901E69"/>
    <w:rsid w:val="62A4384B"/>
    <w:rsid w:val="62A76D27"/>
    <w:rsid w:val="62B82C26"/>
    <w:rsid w:val="62B92000"/>
    <w:rsid w:val="62E60FA9"/>
    <w:rsid w:val="62F37ED7"/>
    <w:rsid w:val="630C0B44"/>
    <w:rsid w:val="63172CDC"/>
    <w:rsid w:val="6328452A"/>
    <w:rsid w:val="63305A87"/>
    <w:rsid w:val="633F24E5"/>
    <w:rsid w:val="639F6B3C"/>
    <w:rsid w:val="63AA30FF"/>
    <w:rsid w:val="64190E26"/>
    <w:rsid w:val="642E605A"/>
    <w:rsid w:val="642E761F"/>
    <w:rsid w:val="64563942"/>
    <w:rsid w:val="645D0C12"/>
    <w:rsid w:val="64624E85"/>
    <w:rsid w:val="647B4FEE"/>
    <w:rsid w:val="648F137D"/>
    <w:rsid w:val="64B57549"/>
    <w:rsid w:val="64B94039"/>
    <w:rsid w:val="64CB179E"/>
    <w:rsid w:val="64D51B9B"/>
    <w:rsid w:val="64D70629"/>
    <w:rsid w:val="64E04086"/>
    <w:rsid w:val="65100C1F"/>
    <w:rsid w:val="653C2102"/>
    <w:rsid w:val="6540528F"/>
    <w:rsid w:val="65594591"/>
    <w:rsid w:val="655E78D8"/>
    <w:rsid w:val="65717397"/>
    <w:rsid w:val="657C3C91"/>
    <w:rsid w:val="657C64B9"/>
    <w:rsid w:val="6598161B"/>
    <w:rsid w:val="65C75801"/>
    <w:rsid w:val="65C90DB0"/>
    <w:rsid w:val="65CE325E"/>
    <w:rsid w:val="65E849BC"/>
    <w:rsid w:val="65F628F2"/>
    <w:rsid w:val="66024622"/>
    <w:rsid w:val="6615001A"/>
    <w:rsid w:val="661E5AB7"/>
    <w:rsid w:val="66270F21"/>
    <w:rsid w:val="66494E90"/>
    <w:rsid w:val="666632EE"/>
    <w:rsid w:val="667A50E0"/>
    <w:rsid w:val="667D6BDE"/>
    <w:rsid w:val="66836A14"/>
    <w:rsid w:val="66915585"/>
    <w:rsid w:val="66A21843"/>
    <w:rsid w:val="66A4279F"/>
    <w:rsid w:val="66B54861"/>
    <w:rsid w:val="66BC3BAB"/>
    <w:rsid w:val="66EB25E5"/>
    <w:rsid w:val="66FB283E"/>
    <w:rsid w:val="66FB4A62"/>
    <w:rsid w:val="67033CC7"/>
    <w:rsid w:val="67101920"/>
    <w:rsid w:val="67103051"/>
    <w:rsid w:val="672A66ED"/>
    <w:rsid w:val="673B6365"/>
    <w:rsid w:val="675E3EDB"/>
    <w:rsid w:val="67646D8A"/>
    <w:rsid w:val="676B512E"/>
    <w:rsid w:val="6771353E"/>
    <w:rsid w:val="67724BCE"/>
    <w:rsid w:val="6785420D"/>
    <w:rsid w:val="67945F64"/>
    <w:rsid w:val="67B96062"/>
    <w:rsid w:val="67F877F6"/>
    <w:rsid w:val="67FE56AD"/>
    <w:rsid w:val="6811113C"/>
    <w:rsid w:val="6824792A"/>
    <w:rsid w:val="684378AB"/>
    <w:rsid w:val="68445A0E"/>
    <w:rsid w:val="685536C9"/>
    <w:rsid w:val="686B4C3B"/>
    <w:rsid w:val="688A6E7B"/>
    <w:rsid w:val="689B7D69"/>
    <w:rsid w:val="689F702E"/>
    <w:rsid w:val="68AE4E3E"/>
    <w:rsid w:val="68BC3F4D"/>
    <w:rsid w:val="68CA1413"/>
    <w:rsid w:val="68D4122D"/>
    <w:rsid w:val="691069F9"/>
    <w:rsid w:val="692730ED"/>
    <w:rsid w:val="694179FE"/>
    <w:rsid w:val="69463EC0"/>
    <w:rsid w:val="694B2CE6"/>
    <w:rsid w:val="69755996"/>
    <w:rsid w:val="699A7E01"/>
    <w:rsid w:val="69BE652A"/>
    <w:rsid w:val="69D72393"/>
    <w:rsid w:val="69D76D5A"/>
    <w:rsid w:val="69D9342A"/>
    <w:rsid w:val="69F90B61"/>
    <w:rsid w:val="6A1C02FC"/>
    <w:rsid w:val="6A27512F"/>
    <w:rsid w:val="6A407BA2"/>
    <w:rsid w:val="6A4638F6"/>
    <w:rsid w:val="6A6472C5"/>
    <w:rsid w:val="6A6F03BA"/>
    <w:rsid w:val="6A7570BE"/>
    <w:rsid w:val="6AB2321F"/>
    <w:rsid w:val="6ADA17F5"/>
    <w:rsid w:val="6AE50A31"/>
    <w:rsid w:val="6AEA014C"/>
    <w:rsid w:val="6AFF5C1B"/>
    <w:rsid w:val="6B003E3A"/>
    <w:rsid w:val="6B0522B6"/>
    <w:rsid w:val="6B125351"/>
    <w:rsid w:val="6B1F2E36"/>
    <w:rsid w:val="6B3A0BFD"/>
    <w:rsid w:val="6B5E5CA7"/>
    <w:rsid w:val="6B717BB9"/>
    <w:rsid w:val="6B774079"/>
    <w:rsid w:val="6B9C5E1E"/>
    <w:rsid w:val="6BA908F1"/>
    <w:rsid w:val="6BAF3F88"/>
    <w:rsid w:val="6BC95C87"/>
    <w:rsid w:val="6BCD2A38"/>
    <w:rsid w:val="6BE23CCB"/>
    <w:rsid w:val="6BE7310F"/>
    <w:rsid w:val="6C0B51FD"/>
    <w:rsid w:val="6C1342CA"/>
    <w:rsid w:val="6C1F723E"/>
    <w:rsid w:val="6C4848AC"/>
    <w:rsid w:val="6C6235B4"/>
    <w:rsid w:val="6C691772"/>
    <w:rsid w:val="6CD51128"/>
    <w:rsid w:val="6CDA1EF8"/>
    <w:rsid w:val="6D0A0767"/>
    <w:rsid w:val="6D127081"/>
    <w:rsid w:val="6D57712D"/>
    <w:rsid w:val="6D577175"/>
    <w:rsid w:val="6D595AB3"/>
    <w:rsid w:val="6D5C18F7"/>
    <w:rsid w:val="6D834CF0"/>
    <w:rsid w:val="6D945763"/>
    <w:rsid w:val="6D973483"/>
    <w:rsid w:val="6DB04BBC"/>
    <w:rsid w:val="6DB05C0E"/>
    <w:rsid w:val="6DB34EB5"/>
    <w:rsid w:val="6DB93FC6"/>
    <w:rsid w:val="6DCA4C35"/>
    <w:rsid w:val="6DCB79E6"/>
    <w:rsid w:val="6DCF5CE6"/>
    <w:rsid w:val="6E151607"/>
    <w:rsid w:val="6E2038CC"/>
    <w:rsid w:val="6E2701A7"/>
    <w:rsid w:val="6E5B3EAC"/>
    <w:rsid w:val="6E77124A"/>
    <w:rsid w:val="6E7C2BB0"/>
    <w:rsid w:val="6E7C3890"/>
    <w:rsid w:val="6E8F3891"/>
    <w:rsid w:val="6E9554D0"/>
    <w:rsid w:val="6EF42A9B"/>
    <w:rsid w:val="6EF72325"/>
    <w:rsid w:val="6F025351"/>
    <w:rsid w:val="6F0848B4"/>
    <w:rsid w:val="6F0B5926"/>
    <w:rsid w:val="6F203A83"/>
    <w:rsid w:val="6F397BC0"/>
    <w:rsid w:val="6F4C1A0B"/>
    <w:rsid w:val="6F4C64C1"/>
    <w:rsid w:val="6F5B3B2A"/>
    <w:rsid w:val="6F683B60"/>
    <w:rsid w:val="6F6A6956"/>
    <w:rsid w:val="6F831724"/>
    <w:rsid w:val="6F90096B"/>
    <w:rsid w:val="6F910B22"/>
    <w:rsid w:val="6FBF39FB"/>
    <w:rsid w:val="6FC64C27"/>
    <w:rsid w:val="6FEC3EAE"/>
    <w:rsid w:val="6FF30181"/>
    <w:rsid w:val="6FF67101"/>
    <w:rsid w:val="6FFE5564"/>
    <w:rsid w:val="700B231E"/>
    <w:rsid w:val="701F66D8"/>
    <w:rsid w:val="70233126"/>
    <w:rsid w:val="702E2AFB"/>
    <w:rsid w:val="703A0F1A"/>
    <w:rsid w:val="708C4D0D"/>
    <w:rsid w:val="70A34740"/>
    <w:rsid w:val="70A34AEF"/>
    <w:rsid w:val="70AD290E"/>
    <w:rsid w:val="70C71116"/>
    <w:rsid w:val="70EE6D0E"/>
    <w:rsid w:val="70EE7B26"/>
    <w:rsid w:val="710E67AF"/>
    <w:rsid w:val="712741FD"/>
    <w:rsid w:val="713047BB"/>
    <w:rsid w:val="714D5E0D"/>
    <w:rsid w:val="715C240C"/>
    <w:rsid w:val="716768EA"/>
    <w:rsid w:val="716E71B2"/>
    <w:rsid w:val="71773B86"/>
    <w:rsid w:val="71885FB3"/>
    <w:rsid w:val="719A2B4B"/>
    <w:rsid w:val="71AE256C"/>
    <w:rsid w:val="71BF061A"/>
    <w:rsid w:val="71CD6FE0"/>
    <w:rsid w:val="71D36814"/>
    <w:rsid w:val="71DC150F"/>
    <w:rsid w:val="71EC1890"/>
    <w:rsid w:val="71ED00A6"/>
    <w:rsid w:val="71FB3337"/>
    <w:rsid w:val="720D6800"/>
    <w:rsid w:val="72193F0E"/>
    <w:rsid w:val="721A06A1"/>
    <w:rsid w:val="725C2771"/>
    <w:rsid w:val="7260070D"/>
    <w:rsid w:val="72704F36"/>
    <w:rsid w:val="72761BAC"/>
    <w:rsid w:val="728558E6"/>
    <w:rsid w:val="728A1BA0"/>
    <w:rsid w:val="7291013A"/>
    <w:rsid w:val="7294628F"/>
    <w:rsid w:val="729B6E2B"/>
    <w:rsid w:val="72A41315"/>
    <w:rsid w:val="72B44CD7"/>
    <w:rsid w:val="72BE32C4"/>
    <w:rsid w:val="72DF41C6"/>
    <w:rsid w:val="72E64923"/>
    <w:rsid w:val="72F15792"/>
    <w:rsid w:val="730B3453"/>
    <w:rsid w:val="73136A24"/>
    <w:rsid w:val="732D56E0"/>
    <w:rsid w:val="736F758E"/>
    <w:rsid w:val="737342DB"/>
    <w:rsid w:val="73A551A7"/>
    <w:rsid w:val="73A84DAC"/>
    <w:rsid w:val="73B77B17"/>
    <w:rsid w:val="73B82543"/>
    <w:rsid w:val="73BE279C"/>
    <w:rsid w:val="73EC6217"/>
    <w:rsid w:val="74071184"/>
    <w:rsid w:val="741734BA"/>
    <w:rsid w:val="74325D09"/>
    <w:rsid w:val="744220B2"/>
    <w:rsid w:val="744939BC"/>
    <w:rsid w:val="74510A9D"/>
    <w:rsid w:val="74532083"/>
    <w:rsid w:val="74704237"/>
    <w:rsid w:val="747F55EE"/>
    <w:rsid w:val="74B2483D"/>
    <w:rsid w:val="74D93300"/>
    <w:rsid w:val="753D1FE6"/>
    <w:rsid w:val="75416EFF"/>
    <w:rsid w:val="75684C81"/>
    <w:rsid w:val="75896BCE"/>
    <w:rsid w:val="7591139B"/>
    <w:rsid w:val="75A95D33"/>
    <w:rsid w:val="75B87ABA"/>
    <w:rsid w:val="75C017F1"/>
    <w:rsid w:val="75CE1D8A"/>
    <w:rsid w:val="75D21EAF"/>
    <w:rsid w:val="75D700A9"/>
    <w:rsid w:val="75D915F0"/>
    <w:rsid w:val="75DA34CA"/>
    <w:rsid w:val="75FF3192"/>
    <w:rsid w:val="760D1ECA"/>
    <w:rsid w:val="766D060B"/>
    <w:rsid w:val="76BA1172"/>
    <w:rsid w:val="76C36768"/>
    <w:rsid w:val="76D016B3"/>
    <w:rsid w:val="76D32638"/>
    <w:rsid w:val="76D7254B"/>
    <w:rsid w:val="76DA57AF"/>
    <w:rsid w:val="76FE0A64"/>
    <w:rsid w:val="76FF3ECE"/>
    <w:rsid w:val="770E6F76"/>
    <w:rsid w:val="772C2B2D"/>
    <w:rsid w:val="77340392"/>
    <w:rsid w:val="774E0844"/>
    <w:rsid w:val="77583599"/>
    <w:rsid w:val="775E174E"/>
    <w:rsid w:val="777B783B"/>
    <w:rsid w:val="77832174"/>
    <w:rsid w:val="778D7E15"/>
    <w:rsid w:val="778E7AFC"/>
    <w:rsid w:val="77C23E3E"/>
    <w:rsid w:val="77D13BB1"/>
    <w:rsid w:val="780D0858"/>
    <w:rsid w:val="78214D65"/>
    <w:rsid w:val="782664BC"/>
    <w:rsid w:val="783C74F7"/>
    <w:rsid w:val="7847183F"/>
    <w:rsid w:val="784C3611"/>
    <w:rsid w:val="784D7EDC"/>
    <w:rsid w:val="7887784B"/>
    <w:rsid w:val="78942F65"/>
    <w:rsid w:val="78970EC4"/>
    <w:rsid w:val="78B065B3"/>
    <w:rsid w:val="78BE4504"/>
    <w:rsid w:val="78D06E32"/>
    <w:rsid w:val="78D84EEF"/>
    <w:rsid w:val="79003E0D"/>
    <w:rsid w:val="79024F3F"/>
    <w:rsid w:val="79041335"/>
    <w:rsid w:val="7909339D"/>
    <w:rsid w:val="7928407E"/>
    <w:rsid w:val="792C0CFC"/>
    <w:rsid w:val="79345655"/>
    <w:rsid w:val="794A03EA"/>
    <w:rsid w:val="794C37BD"/>
    <w:rsid w:val="79886C79"/>
    <w:rsid w:val="799F21C2"/>
    <w:rsid w:val="79A94F5D"/>
    <w:rsid w:val="79E5070E"/>
    <w:rsid w:val="7A2309FE"/>
    <w:rsid w:val="7A2D6D03"/>
    <w:rsid w:val="7A3830A4"/>
    <w:rsid w:val="7A3D40F3"/>
    <w:rsid w:val="7A480C82"/>
    <w:rsid w:val="7A577FB2"/>
    <w:rsid w:val="7A6C2B5B"/>
    <w:rsid w:val="7A775258"/>
    <w:rsid w:val="7A791B50"/>
    <w:rsid w:val="7A904F51"/>
    <w:rsid w:val="7A98661A"/>
    <w:rsid w:val="7AAD6E40"/>
    <w:rsid w:val="7ADF4A33"/>
    <w:rsid w:val="7B307411"/>
    <w:rsid w:val="7B3B2780"/>
    <w:rsid w:val="7B3F076C"/>
    <w:rsid w:val="7B471D64"/>
    <w:rsid w:val="7B48341E"/>
    <w:rsid w:val="7B5064BE"/>
    <w:rsid w:val="7B6A310F"/>
    <w:rsid w:val="7B6A6687"/>
    <w:rsid w:val="7B756062"/>
    <w:rsid w:val="7B9337CF"/>
    <w:rsid w:val="7BA20CCB"/>
    <w:rsid w:val="7BB071C1"/>
    <w:rsid w:val="7BCE2E2C"/>
    <w:rsid w:val="7BD41B9D"/>
    <w:rsid w:val="7BE5168C"/>
    <w:rsid w:val="7BEF5D80"/>
    <w:rsid w:val="7C3744D4"/>
    <w:rsid w:val="7C380AC3"/>
    <w:rsid w:val="7C483706"/>
    <w:rsid w:val="7C5F3EA8"/>
    <w:rsid w:val="7C62341F"/>
    <w:rsid w:val="7C650DFA"/>
    <w:rsid w:val="7C6634D8"/>
    <w:rsid w:val="7C744947"/>
    <w:rsid w:val="7CA731F8"/>
    <w:rsid w:val="7CAC0D8A"/>
    <w:rsid w:val="7CB14AE5"/>
    <w:rsid w:val="7CBB5739"/>
    <w:rsid w:val="7CBC4C7C"/>
    <w:rsid w:val="7CD41F0B"/>
    <w:rsid w:val="7CE76AE9"/>
    <w:rsid w:val="7D180326"/>
    <w:rsid w:val="7D1C372A"/>
    <w:rsid w:val="7D207EF2"/>
    <w:rsid w:val="7D512E56"/>
    <w:rsid w:val="7D574857"/>
    <w:rsid w:val="7D6043B1"/>
    <w:rsid w:val="7D6B5487"/>
    <w:rsid w:val="7DB149D3"/>
    <w:rsid w:val="7DC6575A"/>
    <w:rsid w:val="7DDD1D25"/>
    <w:rsid w:val="7DDF7E56"/>
    <w:rsid w:val="7DE27229"/>
    <w:rsid w:val="7DEB1267"/>
    <w:rsid w:val="7E0D2DB5"/>
    <w:rsid w:val="7E1040E4"/>
    <w:rsid w:val="7E1B10AD"/>
    <w:rsid w:val="7E2C6BE8"/>
    <w:rsid w:val="7E3968BD"/>
    <w:rsid w:val="7E993357"/>
    <w:rsid w:val="7EC42635"/>
    <w:rsid w:val="7EC6369E"/>
    <w:rsid w:val="7ED029D6"/>
    <w:rsid w:val="7EF832CE"/>
    <w:rsid w:val="7F063F6A"/>
    <w:rsid w:val="7F1769DE"/>
    <w:rsid w:val="7F256D11"/>
    <w:rsid w:val="7F2F34E0"/>
    <w:rsid w:val="7F6265C4"/>
    <w:rsid w:val="7F6512C4"/>
    <w:rsid w:val="7F7742C0"/>
    <w:rsid w:val="7F815120"/>
    <w:rsid w:val="7FB233A0"/>
    <w:rsid w:val="7FB53611"/>
    <w:rsid w:val="7FDD45D6"/>
    <w:rsid w:val="7FF76572"/>
    <w:rsid w:val="BF7E25E5"/>
    <w:rsid w:val="CD6DE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52"/>
    <w:qFormat/>
    <w:uiPriority w:val="0"/>
    <w:pPr>
      <w:keepNext/>
      <w:keepLines/>
      <w:spacing w:before="340" w:after="330" w:line="576" w:lineRule="auto"/>
      <w:outlineLvl w:val="0"/>
    </w:pPr>
    <w:rPr>
      <w:b/>
      <w:kern w:val="44"/>
      <w:sz w:val="44"/>
      <w:szCs w:val="24"/>
    </w:rPr>
  </w:style>
  <w:style w:type="paragraph" w:styleId="4">
    <w:name w:val="heading 2"/>
    <w:basedOn w:val="1"/>
    <w:next w:val="5"/>
    <w:link w:val="53"/>
    <w:qFormat/>
    <w:uiPriority w:val="0"/>
    <w:pPr>
      <w:keepNext/>
      <w:keepLines/>
      <w:spacing w:before="260" w:after="260" w:line="415" w:lineRule="auto"/>
      <w:outlineLvl w:val="1"/>
    </w:pPr>
    <w:rPr>
      <w:rFonts w:ascii="Arial" w:hAnsi="Arial" w:eastAsia="黑体"/>
      <w:b/>
      <w:sz w:val="32"/>
    </w:rPr>
  </w:style>
  <w:style w:type="paragraph" w:styleId="2">
    <w:name w:val="heading 3"/>
    <w:basedOn w:val="1"/>
    <w:next w:val="1"/>
    <w:link w:val="54"/>
    <w:qFormat/>
    <w:uiPriority w:val="0"/>
    <w:pPr>
      <w:keepNext/>
      <w:keepLines/>
      <w:spacing w:before="260" w:after="260" w:line="415" w:lineRule="auto"/>
      <w:outlineLvl w:val="2"/>
    </w:pPr>
    <w:rPr>
      <w:b/>
      <w:sz w:val="32"/>
    </w:rPr>
  </w:style>
  <w:style w:type="paragraph" w:styleId="6">
    <w:name w:val="heading 4"/>
    <w:basedOn w:val="1"/>
    <w:next w:val="1"/>
    <w:link w:val="55"/>
    <w:qFormat/>
    <w:uiPriority w:val="0"/>
    <w:pPr>
      <w:keepNext/>
      <w:keepLines/>
      <w:adjustRightInd w:val="0"/>
      <w:spacing w:before="280" w:after="290" w:line="376" w:lineRule="atLeast"/>
      <w:outlineLvl w:val="3"/>
    </w:pPr>
    <w:rPr>
      <w:rFonts w:ascii="Arial" w:hAnsi="Arial" w:eastAsia="黑体"/>
      <w:b/>
      <w:kern w:val="0"/>
      <w:sz w:val="28"/>
      <w:szCs w:val="24"/>
    </w:rPr>
  </w:style>
  <w:style w:type="paragraph" w:styleId="7">
    <w:name w:val="heading 5"/>
    <w:basedOn w:val="1"/>
    <w:next w:val="8"/>
    <w:qFormat/>
    <w:uiPriority w:val="0"/>
    <w:pPr>
      <w:keepNext/>
      <w:keepLines/>
      <w:adjustRightInd w:val="0"/>
      <w:spacing w:before="280" w:after="290" w:line="376" w:lineRule="atLeast"/>
      <w:outlineLvl w:val="4"/>
    </w:pPr>
    <w:rPr>
      <w:b/>
      <w:kern w:val="0"/>
      <w:sz w:val="28"/>
    </w:rPr>
  </w:style>
  <w:style w:type="paragraph" w:styleId="9">
    <w:name w:val="heading 6"/>
    <w:basedOn w:val="1"/>
    <w:next w:val="1"/>
    <w:qFormat/>
    <w:uiPriority w:val="0"/>
    <w:pPr>
      <w:keepNext/>
      <w:keepLines/>
      <w:adjustRightInd w:val="0"/>
      <w:spacing w:before="240" w:after="64" w:line="320" w:lineRule="atLeast"/>
      <w:outlineLvl w:val="5"/>
    </w:pPr>
    <w:rPr>
      <w:rFonts w:ascii="Arial" w:hAnsi="Arial" w:eastAsia="黑体"/>
      <w:b/>
      <w:kern w:val="0"/>
      <w:sz w:val="24"/>
    </w:rPr>
  </w:style>
  <w:style w:type="paragraph" w:styleId="10">
    <w:name w:val="heading 7"/>
    <w:basedOn w:val="1"/>
    <w:next w:val="1"/>
    <w:qFormat/>
    <w:uiPriority w:val="0"/>
    <w:pPr>
      <w:keepNext/>
      <w:keepLines/>
      <w:adjustRightInd w:val="0"/>
      <w:spacing w:before="240" w:after="64" w:line="320" w:lineRule="atLeast"/>
      <w:outlineLvl w:val="6"/>
    </w:pPr>
    <w:rPr>
      <w:b/>
      <w:kern w:val="0"/>
      <w:sz w:val="24"/>
    </w:rPr>
  </w:style>
  <w:style w:type="paragraph" w:styleId="11">
    <w:name w:val="heading 8"/>
    <w:basedOn w:val="1"/>
    <w:next w:val="1"/>
    <w:qFormat/>
    <w:uiPriority w:val="0"/>
    <w:pPr>
      <w:keepNext/>
      <w:keepLines/>
      <w:adjustRightInd w:val="0"/>
      <w:spacing w:before="240" w:after="64" w:line="320" w:lineRule="atLeast"/>
      <w:outlineLvl w:val="7"/>
    </w:pPr>
    <w:rPr>
      <w:rFonts w:ascii="Arial" w:hAnsi="Arial" w:eastAsia="黑体"/>
      <w:kern w:val="0"/>
      <w:sz w:val="24"/>
    </w:rPr>
  </w:style>
  <w:style w:type="paragraph" w:styleId="12">
    <w:name w:val="heading 9"/>
    <w:basedOn w:val="1"/>
    <w:next w:val="1"/>
    <w:qFormat/>
    <w:uiPriority w:val="0"/>
    <w:pPr>
      <w:keepNext/>
      <w:keepLines/>
      <w:adjustRightInd w:val="0"/>
      <w:spacing w:before="240" w:after="64" w:line="320" w:lineRule="atLeast"/>
      <w:outlineLvl w:val="8"/>
    </w:pPr>
    <w:rPr>
      <w:rFonts w:ascii="Arial" w:hAnsi="Arial" w:eastAsia="黑体"/>
      <w:kern w:val="0"/>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customStyle="1" w:styleId="8">
    <w:name w:val="Text"/>
    <w:qFormat/>
    <w:uiPriority w:val="0"/>
    <w:pPr>
      <w:widowControl w:val="0"/>
      <w:tabs>
        <w:tab w:val="left" w:pos="420"/>
        <w:tab w:val="left" w:pos="840"/>
        <w:tab w:val="left" w:pos="1260"/>
      </w:tabs>
      <w:adjustRightInd w:val="0"/>
      <w:snapToGrid w:val="0"/>
      <w:spacing w:beforeLines="75" w:afterLines="50" w:line="360" w:lineRule="auto"/>
      <w:ind w:firstLine="422" w:firstLineChars="200"/>
      <w:jc w:val="both"/>
    </w:pPr>
    <w:rPr>
      <w:rFonts w:ascii="宋体" w:hAnsi="宋体" w:eastAsia="宋体" w:cs="Times New Roman"/>
      <w:b/>
      <w:sz w:val="21"/>
      <w:szCs w:val="21"/>
      <w:lang w:val="en-US" w:eastAsia="zh-CN" w:bidi="ar-SA"/>
    </w:rPr>
  </w:style>
  <w:style w:type="paragraph" w:styleId="13">
    <w:name w:val="toc 7"/>
    <w:basedOn w:val="1"/>
    <w:next w:val="1"/>
    <w:qFormat/>
    <w:uiPriority w:val="0"/>
    <w:pPr>
      <w:ind w:left="1260"/>
      <w:jc w:val="left"/>
    </w:pPr>
    <w:rPr>
      <w:sz w:val="18"/>
      <w:szCs w:val="18"/>
    </w:rPr>
  </w:style>
  <w:style w:type="paragraph" w:styleId="14">
    <w:name w:val="Document Map"/>
    <w:basedOn w:val="1"/>
    <w:qFormat/>
    <w:uiPriority w:val="0"/>
    <w:pPr>
      <w:shd w:val="clear" w:color="auto" w:fill="000080"/>
    </w:pPr>
  </w:style>
  <w:style w:type="paragraph" w:styleId="15">
    <w:name w:val="annotation text"/>
    <w:basedOn w:val="1"/>
    <w:semiHidden/>
    <w:qFormat/>
    <w:uiPriority w:val="0"/>
    <w:pPr>
      <w:jc w:val="left"/>
    </w:pPr>
  </w:style>
  <w:style w:type="paragraph" w:styleId="16">
    <w:name w:val="Body Text 3"/>
    <w:basedOn w:val="1"/>
    <w:qFormat/>
    <w:uiPriority w:val="0"/>
    <w:pPr>
      <w:spacing w:after="120"/>
    </w:pPr>
    <w:rPr>
      <w:sz w:val="16"/>
    </w:rPr>
  </w:style>
  <w:style w:type="paragraph" w:styleId="17">
    <w:name w:val="Body Text"/>
    <w:basedOn w:val="1"/>
    <w:next w:val="1"/>
    <w:link w:val="51"/>
    <w:qFormat/>
    <w:uiPriority w:val="0"/>
    <w:rPr>
      <w:b/>
      <w:sz w:val="28"/>
      <w:szCs w:val="24"/>
    </w:rPr>
  </w:style>
  <w:style w:type="paragraph" w:styleId="18">
    <w:name w:val="Body Text Indent"/>
    <w:basedOn w:val="1"/>
    <w:qFormat/>
    <w:uiPriority w:val="0"/>
    <w:pPr>
      <w:ind w:left="1083" w:leftChars="30" w:hanging="1020" w:hangingChars="425"/>
    </w:pPr>
    <w:rPr>
      <w:rFonts w:ascii="宋体" w:hAnsi="宋体"/>
      <w:sz w:val="24"/>
    </w:rPr>
  </w:style>
  <w:style w:type="paragraph" w:styleId="19">
    <w:name w:val="toc 5"/>
    <w:basedOn w:val="1"/>
    <w:next w:val="1"/>
    <w:qFormat/>
    <w:uiPriority w:val="0"/>
    <w:pPr>
      <w:ind w:left="840"/>
      <w:jc w:val="left"/>
    </w:pPr>
    <w:rPr>
      <w:sz w:val="18"/>
      <w:szCs w:val="18"/>
    </w:rPr>
  </w:style>
  <w:style w:type="paragraph" w:styleId="20">
    <w:name w:val="toc 3"/>
    <w:basedOn w:val="1"/>
    <w:next w:val="1"/>
    <w:qFormat/>
    <w:uiPriority w:val="39"/>
    <w:pPr>
      <w:ind w:left="420"/>
      <w:jc w:val="left"/>
    </w:pPr>
    <w:rPr>
      <w:i/>
      <w:iCs/>
      <w:sz w:val="20"/>
    </w:rPr>
  </w:style>
  <w:style w:type="paragraph" w:styleId="21">
    <w:name w:val="Plain Text"/>
    <w:basedOn w:val="1"/>
    <w:link w:val="56"/>
    <w:qFormat/>
    <w:uiPriority w:val="0"/>
    <w:rPr>
      <w:rFonts w:ascii="宋体" w:hAnsi="Courier New"/>
      <w:sz w:val="24"/>
    </w:rPr>
  </w:style>
  <w:style w:type="paragraph" w:styleId="22">
    <w:name w:val="toc 8"/>
    <w:basedOn w:val="1"/>
    <w:next w:val="1"/>
    <w:qFormat/>
    <w:uiPriority w:val="0"/>
    <w:pPr>
      <w:ind w:left="1470"/>
      <w:jc w:val="left"/>
    </w:pPr>
    <w:rPr>
      <w:sz w:val="18"/>
      <w:szCs w:val="18"/>
    </w:rPr>
  </w:style>
  <w:style w:type="paragraph" w:styleId="23">
    <w:name w:val="Date"/>
    <w:basedOn w:val="1"/>
    <w:next w:val="1"/>
    <w:qFormat/>
    <w:uiPriority w:val="0"/>
    <w:pPr>
      <w:ind w:left="100" w:leftChars="2500"/>
    </w:pPr>
    <w:rPr>
      <w:b/>
      <w:sz w:val="36"/>
    </w:rPr>
  </w:style>
  <w:style w:type="paragraph" w:styleId="24">
    <w:name w:val="Body Text Indent 2"/>
    <w:basedOn w:val="1"/>
    <w:qFormat/>
    <w:uiPriority w:val="0"/>
    <w:pPr>
      <w:spacing w:line="360" w:lineRule="auto"/>
      <w:ind w:firstLine="480" w:firstLineChars="200"/>
    </w:pPr>
    <w:rPr>
      <w:rFonts w:ascii="幼圆" w:hAnsi="宋体" w:eastAsia="幼圆"/>
      <w:color w:val="FF0000"/>
      <w:sz w:val="24"/>
    </w:rPr>
  </w:style>
  <w:style w:type="paragraph" w:styleId="25">
    <w:name w:val="Balloon Text"/>
    <w:basedOn w:val="1"/>
    <w:link w:val="57"/>
    <w:qFormat/>
    <w:uiPriority w:val="0"/>
    <w:rPr>
      <w:sz w:val="18"/>
      <w:szCs w:val="24"/>
    </w:rPr>
  </w:style>
  <w:style w:type="paragraph" w:styleId="26">
    <w:name w:val="footer"/>
    <w:basedOn w:val="1"/>
    <w:link w:val="58"/>
    <w:qFormat/>
    <w:uiPriority w:val="0"/>
    <w:pPr>
      <w:tabs>
        <w:tab w:val="center" w:pos="4153"/>
        <w:tab w:val="right" w:pos="8306"/>
      </w:tabs>
      <w:snapToGrid w:val="0"/>
      <w:jc w:val="left"/>
    </w:pPr>
    <w:rPr>
      <w:sz w:val="18"/>
      <w:szCs w:val="24"/>
    </w:rPr>
  </w:style>
  <w:style w:type="paragraph" w:styleId="27">
    <w:name w:val="header"/>
    <w:basedOn w:val="1"/>
    <w:link w:val="59"/>
    <w:qFormat/>
    <w:uiPriority w:val="0"/>
    <w:pPr>
      <w:pBdr>
        <w:bottom w:val="single" w:color="auto" w:sz="6" w:space="1"/>
      </w:pBdr>
      <w:tabs>
        <w:tab w:val="center" w:pos="4153"/>
        <w:tab w:val="right" w:pos="8306"/>
      </w:tabs>
      <w:adjustRightInd w:val="0"/>
      <w:spacing w:line="240" w:lineRule="atLeast"/>
      <w:jc w:val="center"/>
    </w:pPr>
    <w:rPr>
      <w:kern w:val="0"/>
      <w:sz w:val="18"/>
      <w:szCs w:val="24"/>
    </w:rPr>
  </w:style>
  <w:style w:type="paragraph" w:styleId="28">
    <w:name w:val="toc 1"/>
    <w:basedOn w:val="1"/>
    <w:next w:val="1"/>
    <w:qFormat/>
    <w:uiPriority w:val="39"/>
    <w:pPr>
      <w:spacing w:before="120" w:after="120"/>
      <w:jc w:val="left"/>
    </w:pPr>
    <w:rPr>
      <w:b/>
      <w:bCs/>
      <w:caps/>
      <w:sz w:val="20"/>
    </w:rPr>
  </w:style>
  <w:style w:type="paragraph" w:styleId="29">
    <w:name w:val="toc 4"/>
    <w:basedOn w:val="1"/>
    <w:next w:val="1"/>
    <w:qFormat/>
    <w:uiPriority w:val="0"/>
    <w:pPr>
      <w:ind w:left="630"/>
      <w:jc w:val="left"/>
    </w:pPr>
    <w:rPr>
      <w:sz w:val="18"/>
      <w:szCs w:val="18"/>
    </w:rPr>
  </w:style>
  <w:style w:type="paragraph" w:styleId="30">
    <w:name w:val="toc 6"/>
    <w:basedOn w:val="1"/>
    <w:next w:val="1"/>
    <w:qFormat/>
    <w:uiPriority w:val="0"/>
    <w:pPr>
      <w:ind w:left="1050"/>
      <w:jc w:val="left"/>
    </w:pPr>
    <w:rPr>
      <w:sz w:val="18"/>
      <w:szCs w:val="18"/>
    </w:rPr>
  </w:style>
  <w:style w:type="paragraph" w:styleId="31">
    <w:name w:val="Body Text Indent 3"/>
    <w:basedOn w:val="1"/>
    <w:link w:val="60"/>
    <w:qFormat/>
    <w:uiPriority w:val="0"/>
    <w:pPr>
      <w:spacing w:after="120"/>
      <w:ind w:left="420" w:leftChars="200"/>
    </w:pPr>
    <w:rPr>
      <w:sz w:val="16"/>
      <w:szCs w:val="24"/>
    </w:rPr>
  </w:style>
  <w:style w:type="paragraph" w:styleId="32">
    <w:name w:val="toc 2"/>
    <w:basedOn w:val="1"/>
    <w:next w:val="1"/>
    <w:qFormat/>
    <w:uiPriority w:val="39"/>
    <w:pPr>
      <w:ind w:left="210"/>
      <w:jc w:val="left"/>
    </w:pPr>
    <w:rPr>
      <w:smallCaps/>
      <w:sz w:val="20"/>
    </w:rPr>
  </w:style>
  <w:style w:type="paragraph" w:styleId="33">
    <w:name w:val="toc 9"/>
    <w:basedOn w:val="1"/>
    <w:next w:val="1"/>
    <w:qFormat/>
    <w:uiPriority w:val="0"/>
    <w:pPr>
      <w:ind w:left="1680"/>
      <w:jc w:val="left"/>
    </w:pPr>
    <w:rPr>
      <w:sz w:val="18"/>
      <w:szCs w:val="18"/>
    </w:rPr>
  </w:style>
  <w:style w:type="paragraph" w:styleId="34">
    <w:name w:val="Body Text 2"/>
    <w:basedOn w:val="1"/>
    <w:qFormat/>
    <w:uiPriority w:val="0"/>
    <w:pPr>
      <w:spacing w:line="360" w:lineRule="auto"/>
    </w:pPr>
    <w:rPr>
      <w:rFonts w:ascii="幼圆" w:eastAsia="幼圆"/>
      <w:sz w:val="24"/>
      <w:u w:val="single"/>
    </w:rPr>
  </w:style>
  <w:style w:type="paragraph" w:styleId="35">
    <w:name w:val="HTML Preformatted"/>
    <w:basedOn w:val="1"/>
    <w:qFormat/>
    <w:uiPriority w:val="0"/>
    <w:rPr>
      <w:rFonts w:ascii="Courier New" w:hAnsi="Courier New"/>
      <w:sz w:val="20"/>
    </w:rPr>
  </w:style>
  <w:style w:type="paragraph" w:styleId="36">
    <w:name w:val="Normal (Web)"/>
    <w:basedOn w:val="1"/>
    <w:qFormat/>
    <w:uiPriority w:val="0"/>
    <w:pPr>
      <w:widowControl/>
      <w:spacing w:before="100" w:beforeAutospacing="1" w:after="100" w:afterAutospacing="1"/>
      <w:jc w:val="left"/>
    </w:pPr>
    <w:rPr>
      <w:rFonts w:ascii="宋体" w:hAnsi="宋体"/>
      <w:kern w:val="0"/>
      <w:sz w:val="24"/>
    </w:rPr>
  </w:style>
  <w:style w:type="paragraph" w:styleId="37">
    <w:name w:val="index 1"/>
    <w:basedOn w:val="1"/>
    <w:next w:val="1"/>
    <w:qFormat/>
    <w:uiPriority w:val="0"/>
  </w:style>
  <w:style w:type="paragraph" w:styleId="38">
    <w:name w:val="annotation subject"/>
    <w:basedOn w:val="15"/>
    <w:next w:val="15"/>
    <w:semiHidden/>
    <w:qFormat/>
    <w:uiPriority w:val="0"/>
    <w:rPr>
      <w:b/>
      <w:bCs/>
    </w:rPr>
  </w:style>
  <w:style w:type="paragraph" w:styleId="39">
    <w:name w:val="Body Text First Indent"/>
    <w:basedOn w:val="17"/>
    <w:qFormat/>
    <w:uiPriority w:val="0"/>
    <w:pPr>
      <w:adjustRightInd w:val="0"/>
      <w:ind w:firstLine="420"/>
      <w:jc w:val="left"/>
      <w:textAlignment w:val="baseline"/>
    </w:pPr>
    <w:rPr>
      <w:b w:val="0"/>
      <w:kern w:val="0"/>
      <w:sz w:val="21"/>
    </w:rPr>
  </w:style>
  <w:style w:type="paragraph" w:styleId="40">
    <w:name w:val="Body Text First Indent 2"/>
    <w:basedOn w:val="18"/>
    <w:semiHidden/>
    <w:unhideWhenUsed/>
    <w:qFormat/>
    <w:uiPriority w:val="99"/>
    <w:pPr>
      <w:ind w:firstLine="420" w:firstLineChars="200"/>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Strong"/>
    <w:qFormat/>
    <w:uiPriority w:val="0"/>
    <w:rPr>
      <w:b/>
      <w:szCs w:val="24"/>
    </w:rPr>
  </w:style>
  <w:style w:type="character" w:styleId="45">
    <w:name w:val="page number"/>
    <w:qFormat/>
    <w:uiPriority w:val="0"/>
  </w:style>
  <w:style w:type="character" w:styleId="46">
    <w:name w:val="FollowedHyperlink"/>
    <w:qFormat/>
    <w:uiPriority w:val="0"/>
    <w:rPr>
      <w:rFonts w:hint="eastAsia" w:ascii="宋体" w:hAnsi="宋体" w:eastAsia="宋体" w:cs="宋体"/>
      <w:color w:val="000000"/>
      <w:sz w:val="18"/>
      <w:szCs w:val="18"/>
      <w:u w:val="none"/>
    </w:rPr>
  </w:style>
  <w:style w:type="character" w:styleId="47">
    <w:name w:val="Emphasis"/>
    <w:qFormat/>
    <w:uiPriority w:val="0"/>
    <w:rPr>
      <w:rFonts w:cs="Times New Roman"/>
      <w:i/>
      <w:iCs/>
      <w:szCs w:val="24"/>
    </w:rPr>
  </w:style>
  <w:style w:type="character" w:styleId="48">
    <w:name w:val="Hyperlink"/>
    <w:qFormat/>
    <w:uiPriority w:val="99"/>
    <w:rPr>
      <w:rFonts w:hint="eastAsia" w:ascii="宋体" w:hAnsi="宋体" w:eastAsia="宋体" w:cs="宋体"/>
      <w:color w:val="000000"/>
      <w:sz w:val="18"/>
      <w:szCs w:val="18"/>
      <w:u w:val="none"/>
    </w:rPr>
  </w:style>
  <w:style w:type="character" w:styleId="49">
    <w:name w:val="annotation reference"/>
    <w:semiHidden/>
    <w:qFormat/>
    <w:uiPriority w:val="99"/>
    <w:rPr>
      <w:sz w:val="21"/>
      <w:szCs w:val="21"/>
    </w:rPr>
  </w:style>
  <w:style w:type="paragraph" w:customStyle="1" w:styleId="50">
    <w:name w:val="正文（缩进）"/>
    <w:basedOn w:val="1"/>
    <w:qFormat/>
    <w:uiPriority w:val="0"/>
    <w:pPr>
      <w:spacing w:beforeLines="50" w:afterLines="50"/>
      <w:ind w:firstLine="480"/>
    </w:pPr>
    <w:rPr>
      <w:sz w:val="24"/>
    </w:rPr>
  </w:style>
  <w:style w:type="character" w:customStyle="1" w:styleId="51">
    <w:name w:val="正文文本 Char"/>
    <w:link w:val="17"/>
    <w:qFormat/>
    <w:locked/>
    <w:uiPriority w:val="0"/>
    <w:rPr>
      <w:rFonts w:eastAsia="宋体"/>
      <w:b/>
      <w:kern w:val="2"/>
      <w:sz w:val="28"/>
      <w:szCs w:val="24"/>
      <w:lang w:val="en-US" w:eastAsia="zh-CN" w:bidi="ar-SA"/>
    </w:rPr>
  </w:style>
  <w:style w:type="character" w:customStyle="1" w:styleId="52">
    <w:name w:val="标题 1 Char1"/>
    <w:link w:val="3"/>
    <w:qFormat/>
    <w:locked/>
    <w:uiPriority w:val="0"/>
    <w:rPr>
      <w:rFonts w:eastAsia="宋体"/>
      <w:b/>
      <w:kern w:val="44"/>
      <w:sz w:val="44"/>
      <w:szCs w:val="24"/>
      <w:lang w:val="en-US" w:eastAsia="zh-CN" w:bidi="ar-SA"/>
    </w:rPr>
  </w:style>
  <w:style w:type="character" w:customStyle="1" w:styleId="53">
    <w:name w:val="标题 2 Char"/>
    <w:link w:val="4"/>
    <w:qFormat/>
    <w:uiPriority w:val="0"/>
    <w:rPr>
      <w:rFonts w:ascii="Arial" w:hAnsi="Arial" w:eastAsia="黑体"/>
      <w:b/>
      <w:kern w:val="2"/>
      <w:sz w:val="32"/>
      <w:lang w:val="en-US" w:eastAsia="zh-CN" w:bidi="ar-SA"/>
    </w:rPr>
  </w:style>
  <w:style w:type="character" w:customStyle="1" w:styleId="54">
    <w:name w:val="标题 3 Char"/>
    <w:link w:val="2"/>
    <w:qFormat/>
    <w:uiPriority w:val="0"/>
    <w:rPr>
      <w:rFonts w:eastAsia="宋体"/>
      <w:b/>
      <w:kern w:val="2"/>
      <w:sz w:val="32"/>
      <w:lang w:val="en-US" w:eastAsia="zh-CN"/>
    </w:rPr>
  </w:style>
  <w:style w:type="character" w:customStyle="1" w:styleId="55">
    <w:name w:val="标题 4 Char"/>
    <w:link w:val="6"/>
    <w:qFormat/>
    <w:locked/>
    <w:uiPriority w:val="0"/>
    <w:rPr>
      <w:rFonts w:ascii="Arial" w:hAnsi="Arial" w:eastAsia="黑体"/>
      <w:b/>
      <w:sz w:val="28"/>
      <w:szCs w:val="24"/>
      <w:lang w:val="en-US" w:eastAsia="zh-CN" w:bidi="ar-SA"/>
    </w:rPr>
  </w:style>
  <w:style w:type="character" w:customStyle="1" w:styleId="56">
    <w:name w:val="纯文本 Char"/>
    <w:link w:val="21"/>
    <w:qFormat/>
    <w:uiPriority w:val="0"/>
    <w:rPr>
      <w:rFonts w:ascii="宋体" w:hAnsi="Courier New" w:eastAsia="宋体"/>
      <w:kern w:val="2"/>
      <w:sz w:val="24"/>
      <w:lang w:val="en-US" w:eastAsia="zh-CN" w:bidi="ar-SA"/>
    </w:rPr>
  </w:style>
  <w:style w:type="character" w:customStyle="1" w:styleId="57">
    <w:name w:val="批注框文本 Char1"/>
    <w:link w:val="25"/>
    <w:semiHidden/>
    <w:qFormat/>
    <w:locked/>
    <w:uiPriority w:val="0"/>
    <w:rPr>
      <w:rFonts w:eastAsia="宋体"/>
      <w:kern w:val="2"/>
      <w:sz w:val="18"/>
      <w:szCs w:val="24"/>
      <w:lang w:val="en-US" w:eastAsia="zh-CN" w:bidi="ar-SA"/>
    </w:rPr>
  </w:style>
  <w:style w:type="character" w:customStyle="1" w:styleId="58">
    <w:name w:val="页脚 Char1"/>
    <w:link w:val="26"/>
    <w:qFormat/>
    <w:locked/>
    <w:uiPriority w:val="0"/>
    <w:rPr>
      <w:rFonts w:eastAsia="宋体"/>
      <w:kern w:val="2"/>
      <w:sz w:val="18"/>
      <w:szCs w:val="24"/>
      <w:lang w:val="en-US" w:eastAsia="zh-CN" w:bidi="ar-SA"/>
    </w:rPr>
  </w:style>
  <w:style w:type="character" w:customStyle="1" w:styleId="59">
    <w:name w:val="页眉 Char1"/>
    <w:link w:val="27"/>
    <w:qFormat/>
    <w:locked/>
    <w:uiPriority w:val="0"/>
    <w:rPr>
      <w:rFonts w:eastAsia="宋体"/>
      <w:sz w:val="18"/>
      <w:szCs w:val="24"/>
      <w:lang w:val="en-US" w:eastAsia="zh-CN" w:bidi="ar-SA"/>
    </w:rPr>
  </w:style>
  <w:style w:type="character" w:customStyle="1" w:styleId="60">
    <w:name w:val="正文文本缩进 3 Char"/>
    <w:link w:val="31"/>
    <w:semiHidden/>
    <w:qFormat/>
    <w:uiPriority w:val="0"/>
    <w:rPr>
      <w:rFonts w:eastAsia="宋体"/>
      <w:kern w:val="2"/>
      <w:sz w:val="16"/>
      <w:szCs w:val="24"/>
      <w:lang w:val="en-US" w:eastAsia="zh-CN" w:bidi="ar-SA"/>
    </w:rPr>
  </w:style>
  <w:style w:type="character" w:customStyle="1" w:styleId="61">
    <w:name w:val="gjfg"/>
    <w:qFormat/>
    <w:uiPriority w:val="0"/>
  </w:style>
  <w:style w:type="character" w:customStyle="1" w:styleId="62">
    <w:name w:val="prev1"/>
    <w:qFormat/>
    <w:uiPriority w:val="0"/>
    <w:rPr>
      <w:color w:val="888888"/>
    </w:rPr>
  </w:style>
  <w:style w:type="character" w:customStyle="1" w:styleId="63">
    <w:name w:val="next1"/>
    <w:qFormat/>
    <w:uiPriority w:val="0"/>
    <w:rPr>
      <w:color w:val="888888"/>
    </w:rPr>
  </w:style>
  <w:style w:type="character" w:customStyle="1" w:styleId="64">
    <w:name w:val="prev"/>
    <w:qFormat/>
    <w:uiPriority w:val="0"/>
    <w:rPr>
      <w:rFonts w:hint="eastAsia" w:ascii="微软雅黑" w:hAnsi="微软雅黑" w:eastAsia="微软雅黑" w:cs="微软雅黑"/>
      <w:sz w:val="21"/>
      <w:szCs w:val="21"/>
    </w:rPr>
  </w:style>
  <w:style w:type="character" w:customStyle="1" w:styleId="65">
    <w:name w:val="param-name"/>
    <w:qFormat/>
    <w:uiPriority w:val="0"/>
    <w:rPr>
      <w:rFonts w:cs="Times New Roman"/>
      <w:szCs w:val="24"/>
    </w:rPr>
  </w:style>
  <w:style w:type="character" w:customStyle="1" w:styleId="66">
    <w:name w:val="proollist"/>
    <w:qFormat/>
    <w:uiPriority w:val="0"/>
  </w:style>
  <w:style w:type="character" w:customStyle="1" w:styleId="67">
    <w:name w:val="displayarti"/>
    <w:qFormat/>
    <w:uiPriority w:val="0"/>
    <w:rPr>
      <w:color w:val="FFFFFF"/>
      <w:shd w:val="clear" w:color="auto" w:fill="A00000"/>
    </w:rPr>
  </w:style>
  <w:style w:type="character" w:customStyle="1" w:styleId="68">
    <w:name w:val="标题 1 字符"/>
    <w:qFormat/>
    <w:uiPriority w:val="0"/>
    <w:rPr>
      <w:rFonts w:ascii="Times New Roman" w:hAnsi="Times New Roman" w:eastAsia="宋体" w:cs="Times New Roman"/>
      <w:b/>
      <w:bCs/>
      <w:kern w:val="44"/>
      <w:sz w:val="44"/>
      <w:szCs w:val="44"/>
    </w:rPr>
  </w:style>
  <w:style w:type="character" w:customStyle="1" w:styleId="69">
    <w:name w:val="font61"/>
    <w:qFormat/>
    <w:uiPriority w:val="0"/>
    <w:rPr>
      <w:rFonts w:ascii="font-weight : 400" w:hAnsi="font-weight : 400" w:eastAsia="font-weight : 400" w:cs="font-weight : 400"/>
      <w:color w:val="000000"/>
      <w:sz w:val="16"/>
      <w:szCs w:val="16"/>
      <w:u w:val="none"/>
    </w:rPr>
  </w:style>
  <w:style w:type="character" w:customStyle="1" w:styleId="70">
    <w:name w:val="param-value"/>
    <w:qFormat/>
    <w:uiPriority w:val="0"/>
    <w:rPr>
      <w:rFonts w:cs="Times New Roman"/>
      <w:szCs w:val="24"/>
    </w:rPr>
  </w:style>
  <w:style w:type="character" w:customStyle="1" w:styleId="71">
    <w:name w:val="breakword"/>
    <w:qFormat/>
    <w:uiPriority w:val="0"/>
  </w:style>
  <w:style w:type="character" w:customStyle="1" w:styleId="72">
    <w:name w:val="表格内容"/>
    <w:qFormat/>
    <w:uiPriority w:val="0"/>
    <w:rPr>
      <w:sz w:val="24"/>
    </w:rPr>
  </w:style>
  <w:style w:type="character" w:customStyle="1" w:styleId="73">
    <w:name w:val="font91"/>
    <w:qFormat/>
    <w:uiPriority w:val="0"/>
    <w:rPr>
      <w:rFonts w:hint="eastAsia" w:ascii="宋体" w:hAnsi="宋体" w:eastAsia="宋体" w:cs="宋体"/>
      <w:b/>
      <w:color w:val="FF0000"/>
      <w:sz w:val="16"/>
      <w:szCs w:val="16"/>
      <w:u w:val="none"/>
    </w:rPr>
  </w:style>
  <w:style w:type="character" w:customStyle="1" w:styleId="74">
    <w:name w:val="apple-converted-space"/>
    <w:qFormat/>
    <w:uiPriority w:val="0"/>
    <w:rPr>
      <w:rFonts w:cs="Times New Roman"/>
      <w:szCs w:val="24"/>
    </w:rPr>
  </w:style>
  <w:style w:type="character" w:customStyle="1" w:styleId="75">
    <w:name w:val="qxdate"/>
    <w:qFormat/>
    <w:uiPriority w:val="0"/>
    <w:rPr>
      <w:color w:val="333333"/>
      <w:sz w:val="18"/>
      <w:szCs w:val="18"/>
    </w:rPr>
  </w:style>
  <w:style w:type="character" w:customStyle="1" w:styleId="76">
    <w:name w:val="next"/>
    <w:qFormat/>
    <w:uiPriority w:val="0"/>
    <w:rPr>
      <w:rFonts w:ascii="微软雅黑" w:hAnsi="微软雅黑" w:eastAsia="微软雅黑" w:cs="微软雅黑"/>
      <w:sz w:val="21"/>
      <w:szCs w:val="21"/>
    </w:rPr>
  </w:style>
  <w:style w:type="character" w:customStyle="1" w:styleId="77">
    <w:name w:val="cfdate"/>
    <w:qFormat/>
    <w:uiPriority w:val="0"/>
    <w:rPr>
      <w:color w:val="333333"/>
      <w:sz w:val="18"/>
      <w:szCs w:val="18"/>
    </w:rPr>
  </w:style>
  <w:style w:type="character" w:customStyle="1" w:styleId="78">
    <w:name w:val="beforeinfotext"/>
    <w:qFormat/>
    <w:uiPriority w:val="0"/>
    <w:rPr>
      <w:color w:val="666666"/>
      <w:szCs w:val="24"/>
    </w:rPr>
  </w:style>
  <w:style w:type="character" w:customStyle="1" w:styleId="79">
    <w:name w:val="font51"/>
    <w:qFormat/>
    <w:uiPriority w:val="0"/>
    <w:rPr>
      <w:rFonts w:hint="eastAsia" w:ascii="仿宋_GB2312" w:eastAsia="仿宋_GB2312"/>
      <w:color w:val="000000"/>
      <w:sz w:val="20"/>
      <w:szCs w:val="20"/>
      <w:u w:val="none"/>
    </w:rPr>
  </w:style>
  <w:style w:type="character" w:customStyle="1" w:styleId="80">
    <w:name w:val="普通(网站) Char Char"/>
    <w:link w:val="81"/>
    <w:qFormat/>
    <w:uiPriority w:val="0"/>
    <w:rPr>
      <w:rFonts w:ascii="宋体" w:hAnsi="宋体"/>
      <w:sz w:val="24"/>
      <w:lang w:bidi="ar-SA"/>
    </w:rPr>
  </w:style>
  <w:style w:type="paragraph" w:customStyle="1" w:styleId="81">
    <w:name w:val="普通(网站)1"/>
    <w:basedOn w:val="1"/>
    <w:link w:val="80"/>
    <w:qFormat/>
    <w:uiPriority w:val="0"/>
    <w:pPr>
      <w:widowControl/>
      <w:spacing w:before="100" w:beforeAutospacing="1" w:after="100" w:afterAutospacing="1" w:line="360" w:lineRule="auto"/>
      <w:ind w:firstLine="420" w:firstLineChars="200"/>
      <w:jc w:val="left"/>
    </w:pPr>
    <w:rPr>
      <w:rFonts w:ascii="宋体" w:hAnsi="宋体"/>
      <w:kern w:val="0"/>
      <w:sz w:val="24"/>
    </w:rPr>
  </w:style>
  <w:style w:type="character" w:customStyle="1" w:styleId="82">
    <w:name w:val="font41"/>
    <w:qFormat/>
    <w:uiPriority w:val="0"/>
    <w:rPr>
      <w:rFonts w:hint="eastAsia" w:ascii="宋体" w:hAnsi="宋体" w:eastAsia="宋体"/>
      <w:color w:val="000000"/>
      <w:sz w:val="20"/>
      <w:szCs w:val="20"/>
      <w:u w:val="none"/>
    </w:rPr>
  </w:style>
  <w:style w:type="character" w:customStyle="1" w:styleId="83">
    <w:name w:val="font81"/>
    <w:qFormat/>
    <w:uiPriority w:val="0"/>
    <w:rPr>
      <w:rFonts w:ascii="font-weight : 400" w:hAnsi="font-weight : 400" w:eastAsia="font-weight : 400" w:cs="font-weight : 400"/>
      <w:color w:val="000000"/>
      <w:sz w:val="16"/>
      <w:szCs w:val="16"/>
      <w:u w:val="none"/>
    </w:rPr>
  </w:style>
  <w:style w:type="character" w:customStyle="1" w:styleId="84">
    <w:name w:val="apple-style-span"/>
    <w:qFormat/>
    <w:uiPriority w:val="0"/>
  </w:style>
  <w:style w:type="character" w:customStyle="1" w:styleId="85">
    <w:name w:val="me041"/>
    <w:qFormat/>
    <w:uiPriority w:val="0"/>
    <w:rPr>
      <w:color w:val="6F6F73"/>
      <w:sz w:val="18"/>
      <w:szCs w:val="18"/>
    </w:rPr>
  </w:style>
  <w:style w:type="character" w:customStyle="1" w:styleId="86">
    <w:name w:val="页眉 Char"/>
    <w:qFormat/>
    <w:uiPriority w:val="0"/>
    <w:rPr>
      <w:sz w:val="18"/>
    </w:rPr>
  </w:style>
  <w:style w:type="character" w:customStyle="1" w:styleId="87">
    <w:name w:val="font31"/>
    <w:qFormat/>
    <w:uiPriority w:val="0"/>
    <w:rPr>
      <w:rFonts w:hint="eastAsia" w:ascii="宋体" w:hAnsi="宋体" w:eastAsia="宋体" w:cs="宋体"/>
      <w:color w:val="FF0000"/>
      <w:sz w:val="32"/>
      <w:szCs w:val="32"/>
      <w:u w:val="none"/>
    </w:rPr>
  </w:style>
  <w:style w:type="character" w:customStyle="1" w:styleId="88">
    <w:name w:val="批注框文本 Char"/>
    <w:qFormat/>
    <w:locked/>
    <w:uiPriority w:val="0"/>
    <w:rPr>
      <w:rFonts w:cs="Times New Roman"/>
      <w:kern w:val="2"/>
      <w:sz w:val="18"/>
      <w:szCs w:val="18"/>
    </w:rPr>
  </w:style>
  <w:style w:type="character" w:customStyle="1" w:styleId="89">
    <w:name w:val="point_normal1"/>
    <w:qFormat/>
    <w:uiPriority w:val="0"/>
    <w:rPr>
      <w:rFonts w:hint="default" w:ascii="Arial" w:hAnsi="Arial"/>
      <w:sz w:val="18"/>
    </w:rPr>
  </w:style>
  <w:style w:type="character" w:customStyle="1" w:styleId="90">
    <w:name w:val="Heading 3 Char"/>
    <w:qFormat/>
    <w:locked/>
    <w:uiPriority w:val="0"/>
    <w:rPr>
      <w:rFonts w:ascii="Times New Roman" w:hAnsi="Times New Roman" w:eastAsia="宋体" w:cs="Times New Roman"/>
      <w:b/>
      <w:kern w:val="0"/>
      <w:sz w:val="32"/>
      <w:szCs w:val="24"/>
    </w:rPr>
  </w:style>
  <w:style w:type="character" w:customStyle="1" w:styleId="91">
    <w:name w:val="font21"/>
    <w:qFormat/>
    <w:uiPriority w:val="0"/>
    <w:rPr>
      <w:rFonts w:hint="eastAsia" w:ascii="宋体" w:hAnsi="宋体" w:eastAsia="宋体" w:cs="宋体"/>
      <w:color w:val="000000"/>
      <w:sz w:val="20"/>
      <w:szCs w:val="20"/>
      <w:u w:val="none"/>
    </w:rPr>
  </w:style>
  <w:style w:type="character" w:customStyle="1" w:styleId="92">
    <w:name w:val="15"/>
    <w:qFormat/>
    <w:uiPriority w:val="0"/>
    <w:rPr>
      <w:rFonts w:hint="default" w:ascii="Times New Roman" w:hAnsi="Times New Roman" w:cs="Times New Roman"/>
    </w:rPr>
  </w:style>
  <w:style w:type="character" w:customStyle="1" w:styleId="93">
    <w:name w:val="number"/>
    <w:qFormat/>
    <w:uiPriority w:val="0"/>
    <w:rPr>
      <w:color w:val="FF8833"/>
      <w:sz w:val="18"/>
      <w:szCs w:val="18"/>
    </w:rPr>
  </w:style>
  <w:style w:type="character" w:customStyle="1" w:styleId="94">
    <w:name w:val="Heading 2 Char"/>
    <w:qFormat/>
    <w:locked/>
    <w:uiPriority w:val="0"/>
    <w:rPr>
      <w:rFonts w:ascii="Cambria" w:hAnsi="Cambria" w:eastAsia="宋体" w:cs="Times New Roman"/>
      <w:b/>
      <w:kern w:val="0"/>
      <w:sz w:val="32"/>
      <w:szCs w:val="24"/>
    </w:rPr>
  </w:style>
  <w:style w:type="character" w:customStyle="1" w:styleId="95">
    <w:name w:val="phone"/>
    <w:qFormat/>
    <w:uiPriority w:val="0"/>
    <w:rPr>
      <w:color w:val="FF8833"/>
      <w:sz w:val="18"/>
      <w:szCs w:val="18"/>
    </w:rPr>
  </w:style>
  <w:style w:type="character" w:customStyle="1" w:styleId="96">
    <w:name w:val="font101"/>
    <w:qFormat/>
    <w:uiPriority w:val="0"/>
    <w:rPr>
      <w:rFonts w:hint="eastAsia" w:ascii="宋体" w:hAnsi="宋体" w:eastAsia="宋体" w:cs="宋体"/>
      <w:color w:val="FF0000"/>
      <w:sz w:val="16"/>
      <w:szCs w:val="16"/>
      <w:u w:val="none"/>
    </w:rPr>
  </w:style>
  <w:style w:type="character" w:customStyle="1" w:styleId="97">
    <w:name w:val="font01"/>
    <w:qFormat/>
    <w:uiPriority w:val="0"/>
    <w:rPr>
      <w:rFonts w:hint="eastAsia" w:ascii="宋体" w:hAnsi="宋体" w:eastAsia="宋体" w:cs="宋体"/>
      <w:color w:val="000000"/>
      <w:sz w:val="20"/>
      <w:szCs w:val="20"/>
      <w:u w:val="none"/>
    </w:rPr>
  </w:style>
  <w:style w:type="character" w:customStyle="1" w:styleId="98">
    <w:name w:val="para1"/>
    <w:qFormat/>
    <w:uiPriority w:val="0"/>
    <w:rPr>
      <w:rFonts w:hint="default" w:ascii="Arial" w:hAnsi="Arial"/>
      <w:sz w:val="18"/>
    </w:rPr>
  </w:style>
  <w:style w:type="character" w:customStyle="1" w:styleId="99">
    <w:name w:val="Char Char"/>
    <w:qFormat/>
    <w:uiPriority w:val="0"/>
    <w:rPr>
      <w:rFonts w:eastAsia="宋体"/>
      <w:b/>
      <w:kern w:val="2"/>
      <w:sz w:val="32"/>
      <w:lang w:val="en-US" w:eastAsia="zh-CN"/>
    </w:rPr>
  </w:style>
  <w:style w:type="character" w:customStyle="1" w:styleId="100">
    <w:name w:val="Plain Text Char"/>
    <w:qFormat/>
    <w:locked/>
    <w:uiPriority w:val="0"/>
    <w:rPr>
      <w:rFonts w:ascii="宋体" w:hAnsi="Courier New" w:eastAsia="宋体"/>
      <w:sz w:val="21"/>
    </w:rPr>
  </w:style>
  <w:style w:type="character" w:customStyle="1" w:styleId="101">
    <w:name w:val="页脚 Char"/>
    <w:qFormat/>
    <w:uiPriority w:val="0"/>
    <w:rPr>
      <w:sz w:val="18"/>
    </w:rPr>
  </w:style>
  <w:style w:type="character" w:customStyle="1" w:styleId="102">
    <w:name w:val="标题 1 Char"/>
    <w:qFormat/>
    <w:uiPriority w:val="0"/>
    <w:rPr>
      <w:b/>
      <w:bCs/>
      <w:kern w:val="44"/>
      <w:sz w:val="44"/>
      <w:szCs w:val="44"/>
    </w:rPr>
  </w:style>
  <w:style w:type="character" w:customStyle="1" w:styleId="103">
    <w:name w:val="font71"/>
    <w:qFormat/>
    <w:uiPriority w:val="0"/>
    <w:rPr>
      <w:rFonts w:hint="eastAsia" w:ascii="宋体" w:hAnsi="宋体" w:eastAsia="宋体" w:cs="宋体"/>
      <w:b/>
      <w:color w:val="000000"/>
      <w:sz w:val="16"/>
      <w:szCs w:val="16"/>
      <w:u w:val="none"/>
    </w:rPr>
  </w:style>
  <w:style w:type="character" w:customStyle="1" w:styleId="104">
    <w:name w:val="title_emph1"/>
    <w:qFormat/>
    <w:uiPriority w:val="0"/>
    <w:rPr>
      <w:rFonts w:hint="default" w:ascii="Arial" w:hAnsi="Arial"/>
      <w:b/>
      <w:sz w:val="18"/>
    </w:rPr>
  </w:style>
  <w:style w:type="character" w:customStyle="1" w:styleId="105">
    <w:name w:val="stclosebtn"/>
    <w:qFormat/>
    <w:uiPriority w:val="0"/>
  </w:style>
  <w:style w:type="character" w:customStyle="1" w:styleId="106">
    <w:name w:val="redfilenumber"/>
    <w:qFormat/>
    <w:uiPriority w:val="0"/>
    <w:rPr>
      <w:color w:val="BA2636"/>
      <w:sz w:val="18"/>
      <w:szCs w:val="18"/>
    </w:rPr>
  </w:style>
  <w:style w:type="character" w:customStyle="1" w:styleId="107">
    <w:name w:val="redfilefwwh"/>
    <w:qFormat/>
    <w:uiPriority w:val="0"/>
    <w:rPr>
      <w:color w:val="BA2636"/>
      <w:sz w:val="18"/>
      <w:szCs w:val="18"/>
    </w:rPr>
  </w:style>
  <w:style w:type="paragraph" w:customStyle="1" w:styleId="10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0"/>
    </w:rPr>
  </w:style>
  <w:style w:type="paragraph" w:customStyle="1" w:styleId="109">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rPr>
  </w:style>
  <w:style w:type="paragraph" w:customStyle="1" w:styleId="110">
    <w:name w:val="xl78"/>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11">
    <w:name w:val="reader-word-layer reader-word-s10-1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12">
    <w:name w:val="样式 行距: 1.5 倍行距1"/>
    <w:basedOn w:val="1"/>
    <w:qFormat/>
    <w:uiPriority w:val="0"/>
    <w:pPr>
      <w:spacing w:line="360" w:lineRule="auto"/>
      <w:ind w:firstLine="480"/>
    </w:pPr>
    <w:rPr>
      <w:rFonts w:cs="宋体"/>
      <w:sz w:val="24"/>
      <w:szCs w:val="24"/>
    </w:rPr>
  </w:style>
  <w:style w:type="paragraph" w:customStyle="1" w:styleId="113">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rPr>
  </w:style>
  <w:style w:type="paragraph" w:customStyle="1" w:styleId="114">
    <w:name w:val="xl68"/>
    <w:basedOn w:val="1"/>
    <w:qFormat/>
    <w:uiPriority w:val="0"/>
    <w:pPr>
      <w:widowControl/>
      <w:spacing w:before="100" w:beforeAutospacing="1" w:after="100" w:afterAutospacing="1"/>
      <w:jc w:val="left"/>
      <w:textAlignment w:val="center"/>
    </w:pPr>
    <w:rPr>
      <w:rFonts w:ascii="Arial" w:hAnsi="Arial"/>
      <w:kern w:val="0"/>
      <w:sz w:val="20"/>
    </w:rPr>
  </w:style>
  <w:style w:type="paragraph" w:customStyle="1" w:styleId="11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11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8">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kern w:val="0"/>
      <w:sz w:val="22"/>
    </w:rPr>
  </w:style>
  <w:style w:type="paragraph" w:customStyle="1" w:styleId="119">
    <w:name w:val="Char Char1 Char Char Char Char Char Char Char Char Char Char Char Char Char Char Char"/>
    <w:basedOn w:val="1"/>
    <w:qFormat/>
    <w:uiPriority w:val="0"/>
    <w:pPr>
      <w:widowControl/>
      <w:spacing w:after="160" w:line="240" w:lineRule="exact"/>
      <w:jc w:val="left"/>
    </w:pPr>
    <w:rPr>
      <w:szCs w:val="24"/>
    </w:rPr>
  </w:style>
  <w:style w:type="paragraph" w:customStyle="1" w:styleId="120">
    <w:name w:val="font7"/>
    <w:basedOn w:val="1"/>
    <w:qFormat/>
    <w:uiPriority w:val="0"/>
    <w:pPr>
      <w:widowControl/>
      <w:spacing w:before="100" w:beforeAutospacing="1" w:after="100" w:afterAutospacing="1"/>
      <w:jc w:val="left"/>
    </w:pPr>
    <w:rPr>
      <w:kern w:val="0"/>
      <w:sz w:val="24"/>
    </w:rPr>
  </w:style>
  <w:style w:type="paragraph" w:customStyle="1" w:styleId="121">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22">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rPr>
  </w:style>
  <w:style w:type="paragraph" w:customStyle="1" w:styleId="123">
    <w:name w:val="_Style 83"/>
    <w:basedOn w:val="1"/>
    <w:qFormat/>
    <w:uiPriority w:val="0"/>
  </w:style>
  <w:style w:type="paragraph" w:customStyle="1" w:styleId="124">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25">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26">
    <w:name w:val="正文 A"/>
    <w:qFormat/>
    <w:uiPriority w:val="0"/>
    <w:pPr>
      <w:widowControl w:val="0"/>
      <w:jc w:val="both"/>
    </w:pPr>
    <w:rPr>
      <w:rFonts w:ascii="Arial Unicode MS" w:hAnsi="Arial Unicode MS" w:eastAsia="宋体" w:cs="Times New Roman"/>
      <w:color w:val="000000"/>
      <w:kern w:val="2"/>
      <w:sz w:val="21"/>
      <w:szCs w:val="22"/>
      <w:lang w:val="en-US" w:eastAsia="zh-CN" w:bidi="ar-SA"/>
    </w:rPr>
  </w:style>
  <w:style w:type="paragraph" w:customStyle="1" w:styleId="127">
    <w:name w:val="xl5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28">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129">
    <w:name w:val="1"/>
    <w:basedOn w:val="1"/>
    <w:next w:val="36"/>
    <w:qFormat/>
    <w:uiPriority w:val="0"/>
    <w:pPr>
      <w:widowControl/>
      <w:spacing w:before="100" w:beforeAutospacing="1" w:after="100" w:afterAutospacing="1"/>
      <w:jc w:val="left"/>
    </w:pPr>
    <w:rPr>
      <w:rFonts w:ascii="宋体" w:hAnsi="宋体"/>
      <w:kern w:val="0"/>
      <w:sz w:val="24"/>
    </w:rPr>
  </w:style>
  <w:style w:type="paragraph" w:customStyle="1" w:styleId="130">
    <w:name w:val="样式5"/>
    <w:basedOn w:val="1"/>
    <w:qFormat/>
    <w:uiPriority w:val="0"/>
    <w:pPr>
      <w:keepNext/>
      <w:keepLines/>
      <w:widowControl/>
      <w:numPr>
        <w:ilvl w:val="1"/>
        <w:numId w:val="1"/>
      </w:numPr>
      <w:tabs>
        <w:tab w:val="left" w:pos="540"/>
        <w:tab w:val="left" w:pos="720"/>
        <w:tab w:val="clear" w:pos="1260"/>
      </w:tabs>
      <w:kinsoku w:val="0"/>
      <w:overflowPunct w:val="0"/>
      <w:snapToGrid w:val="0"/>
      <w:spacing w:beforeLines="100" w:afterLines="50"/>
      <w:ind w:left="896" w:hanging="716"/>
      <w:jc w:val="left"/>
      <w:textAlignment w:val="top"/>
      <w:outlineLvl w:val="1"/>
    </w:pPr>
    <w:rPr>
      <w:rFonts w:ascii="Arial" w:hAnsi="Arial" w:cs="宋体"/>
      <w:spacing w:val="-5"/>
      <w:kern w:val="0"/>
      <w:sz w:val="30"/>
      <w:shd w:val="clear" w:color="auto" w:fill="000080"/>
    </w:rPr>
  </w:style>
  <w:style w:type="paragraph" w:customStyle="1" w:styleId="131">
    <w:name w:val="title1"/>
    <w:basedOn w:val="1"/>
    <w:qFormat/>
    <w:uiPriority w:val="0"/>
    <w:pPr>
      <w:spacing w:before="150"/>
      <w:jc w:val="left"/>
    </w:pPr>
    <w:rPr>
      <w:b/>
      <w:kern w:val="0"/>
      <w:sz w:val="22"/>
      <w:szCs w:val="22"/>
    </w:rPr>
  </w:style>
  <w:style w:type="paragraph" w:customStyle="1" w:styleId="132">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33">
    <w:name w:val="正文K"/>
    <w:qFormat/>
    <w:uiPriority w:val="0"/>
    <w:pPr>
      <w:widowControl w:val="0"/>
      <w:autoSpaceDE w:val="0"/>
      <w:autoSpaceDN w:val="0"/>
      <w:adjustRightInd w:val="0"/>
      <w:spacing w:line="340" w:lineRule="atLeast"/>
      <w:ind w:firstLine="428"/>
      <w:jc w:val="both"/>
    </w:pPr>
    <w:rPr>
      <w:rFonts w:ascii="汉仪楷体简" w:hAnsi="Times New Roman" w:eastAsia="汉仪楷体简" w:cs="汉仪楷体简"/>
      <w:sz w:val="21"/>
      <w:szCs w:val="21"/>
      <w:lang w:val="en-US" w:eastAsia="zh-CN" w:bidi="ar-SA"/>
    </w:rPr>
  </w:style>
  <w:style w:type="paragraph" w:customStyle="1" w:styleId="134">
    <w:name w:val="xl69"/>
    <w:basedOn w:val="1"/>
    <w:qFormat/>
    <w:uiPriority w:val="0"/>
    <w:pPr>
      <w:widowControl/>
      <w:spacing w:before="100" w:beforeAutospacing="1" w:after="100" w:afterAutospacing="1"/>
      <w:jc w:val="left"/>
      <w:textAlignment w:val="center"/>
    </w:pPr>
    <w:rPr>
      <w:rFonts w:ascii="Arial" w:hAnsi="Arial"/>
      <w:kern w:val="0"/>
      <w:sz w:val="24"/>
    </w:rPr>
  </w:style>
  <w:style w:type="paragraph" w:customStyle="1" w:styleId="13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rPr>
  </w:style>
  <w:style w:type="paragraph" w:customStyle="1" w:styleId="136">
    <w:name w:val="5"/>
    <w:basedOn w:val="1"/>
    <w:next w:val="21"/>
    <w:qFormat/>
    <w:uiPriority w:val="0"/>
    <w:rPr>
      <w:rFonts w:ascii="宋体" w:hAnsi="Courier New"/>
    </w:rPr>
  </w:style>
  <w:style w:type="paragraph" w:customStyle="1" w:styleId="137">
    <w:name w:val="font5"/>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38">
    <w:name w:val="2 - 节标题"/>
    <w:basedOn w:val="4"/>
    <w:next w:val="1"/>
    <w:qFormat/>
    <w:uiPriority w:val="0"/>
    <w:pPr>
      <w:keepNext w:val="0"/>
      <w:keepLines w:val="0"/>
      <w:tabs>
        <w:tab w:val="left" w:pos="0"/>
      </w:tabs>
      <w:spacing w:line="240" w:lineRule="auto"/>
    </w:pPr>
    <w:rPr>
      <w:b w:val="0"/>
      <w:bCs/>
      <w:kern w:val="0"/>
      <w:sz w:val="30"/>
      <w:szCs w:val="32"/>
    </w:rPr>
  </w:style>
  <w:style w:type="paragraph" w:customStyle="1" w:styleId="139">
    <w:name w:val="font12"/>
    <w:basedOn w:val="1"/>
    <w:qFormat/>
    <w:uiPriority w:val="0"/>
    <w:pPr>
      <w:widowControl/>
      <w:spacing w:before="100" w:beforeAutospacing="1" w:after="100" w:afterAutospacing="1"/>
      <w:jc w:val="left"/>
    </w:pPr>
    <w:rPr>
      <w:rFonts w:ascii="Arial" w:hAnsi="Arial"/>
      <w:kern w:val="0"/>
      <w:sz w:val="22"/>
    </w:rPr>
  </w:style>
  <w:style w:type="paragraph" w:customStyle="1" w:styleId="140">
    <w:name w:val="font10"/>
    <w:basedOn w:val="1"/>
    <w:qFormat/>
    <w:uiPriority w:val="0"/>
    <w:pPr>
      <w:widowControl/>
      <w:spacing w:before="100" w:beforeAutospacing="1" w:after="100" w:afterAutospacing="1"/>
      <w:jc w:val="left"/>
    </w:pPr>
    <w:rPr>
      <w:rFonts w:hint="eastAsia" w:ascii="宋体" w:hAnsi="宋体"/>
      <w:kern w:val="0"/>
      <w:sz w:val="22"/>
    </w:rPr>
  </w:style>
  <w:style w:type="paragraph" w:customStyle="1" w:styleId="141">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w:hAnsi="Arial"/>
      <w:kern w:val="0"/>
      <w:sz w:val="22"/>
    </w:rPr>
  </w:style>
  <w:style w:type="paragraph" w:customStyle="1" w:styleId="1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43">
    <w:name w:val="xl36"/>
    <w:basedOn w:val="1"/>
    <w:qFormat/>
    <w:uiPriority w:val="0"/>
    <w:pPr>
      <w:widowControl/>
      <w:spacing w:before="100" w:after="100"/>
      <w:jc w:val="center"/>
    </w:pPr>
    <w:rPr>
      <w:rFonts w:hint="eastAsia" w:ascii="宋体" w:hAnsi="宋体"/>
      <w:kern w:val="0"/>
      <w:sz w:val="24"/>
    </w:rPr>
  </w:style>
  <w:style w:type="paragraph" w:customStyle="1" w:styleId="144">
    <w:name w:val="Char Char Char Char Char Char1 Char"/>
    <w:basedOn w:val="14"/>
    <w:qFormat/>
    <w:uiPriority w:val="0"/>
    <w:rPr>
      <w:rFonts w:ascii="Tahoma" w:hAnsi="Tahoma"/>
      <w:sz w:val="24"/>
      <w:szCs w:val="24"/>
    </w:rPr>
  </w:style>
  <w:style w:type="paragraph" w:customStyle="1" w:styleId="14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0"/>
    </w:rPr>
  </w:style>
  <w:style w:type="paragraph" w:customStyle="1" w:styleId="147">
    <w:name w:val="小标题 3"/>
    <w:qFormat/>
    <w:uiPriority w:val="0"/>
    <w:pPr>
      <w:widowControl w:val="0"/>
      <w:autoSpaceDE w:val="0"/>
      <w:autoSpaceDN w:val="0"/>
      <w:adjustRightInd w:val="0"/>
      <w:spacing w:line="340" w:lineRule="atLeast"/>
      <w:ind w:firstLine="454"/>
    </w:pPr>
    <w:rPr>
      <w:rFonts w:ascii="汉仪魏碑简" w:hAnsi="Times New Roman" w:eastAsia="汉仪魏碑简" w:cs="汉仪魏碑简"/>
      <w:color w:val="000000"/>
      <w:spacing w:val="-15"/>
      <w:sz w:val="22"/>
      <w:szCs w:val="22"/>
      <w:lang w:val="en-US" w:eastAsia="zh-CN" w:bidi="ar-SA"/>
    </w:rPr>
  </w:style>
  <w:style w:type="paragraph" w:customStyle="1" w:styleId="148">
    <w:name w:val="Char Char1 Char"/>
    <w:basedOn w:val="1"/>
    <w:qFormat/>
    <w:uiPriority w:val="0"/>
    <w:rPr>
      <w:rFonts w:ascii="宋体" w:hAnsi="宋体"/>
      <w:sz w:val="24"/>
    </w:rPr>
  </w:style>
  <w:style w:type="paragraph" w:customStyle="1" w:styleId="14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kern w:val="0"/>
      <w:sz w:val="22"/>
    </w:rPr>
  </w:style>
  <w:style w:type="paragraph" w:customStyle="1" w:styleId="150">
    <w:name w:val="列出段落1"/>
    <w:basedOn w:val="1"/>
    <w:qFormat/>
    <w:uiPriority w:val="0"/>
    <w:pPr>
      <w:ind w:firstLine="420" w:firstLineChars="200"/>
    </w:pPr>
    <w:rPr>
      <w:szCs w:val="24"/>
    </w:rPr>
  </w:style>
  <w:style w:type="paragraph" w:styleId="151">
    <w:name w:val="No Spacing"/>
    <w:qFormat/>
    <w:uiPriority w:val="1"/>
    <w:pPr>
      <w:widowControl w:val="0"/>
      <w:ind w:firstLine="200" w:firstLineChars="200"/>
      <w:jc w:val="both"/>
    </w:pPr>
    <w:rPr>
      <w:rFonts w:ascii="Times New Roman" w:hAnsi="Times New Roman" w:eastAsia="微软雅黑" w:cs="Times New Roman"/>
      <w:kern w:val="2"/>
      <w:sz w:val="21"/>
      <w:szCs w:val="22"/>
      <w:lang w:val="en-US" w:eastAsia="zh-CN" w:bidi="ar-SA"/>
    </w:rPr>
  </w:style>
  <w:style w:type="paragraph" w:customStyle="1" w:styleId="152">
    <w:name w:val="font6"/>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153">
    <w:name w:val="List Paragraph_b6cff88a-be13-4afe-b14a-a36f143a244d"/>
    <w:basedOn w:val="1"/>
    <w:qFormat/>
    <w:uiPriority w:val="0"/>
    <w:pPr>
      <w:ind w:firstLine="420" w:firstLineChars="200"/>
    </w:pPr>
  </w:style>
  <w:style w:type="paragraph" w:customStyle="1" w:styleId="154">
    <w:name w:val="日期1"/>
    <w:basedOn w:val="1"/>
    <w:next w:val="1"/>
    <w:qFormat/>
    <w:uiPriority w:val="0"/>
    <w:pPr>
      <w:adjustRightInd w:val="0"/>
      <w:spacing w:line="312" w:lineRule="atLeast"/>
      <w:jc w:val="right"/>
      <w:textAlignment w:val="baseline"/>
    </w:pPr>
    <w:rPr>
      <w:b/>
      <w:kern w:val="0"/>
      <w:sz w:val="36"/>
    </w:rPr>
  </w:style>
  <w:style w:type="paragraph" w:customStyle="1" w:styleId="155">
    <w:name w:val="例文标题"/>
    <w:qFormat/>
    <w:uiPriority w:val="0"/>
    <w:pPr>
      <w:widowControl w:val="0"/>
      <w:autoSpaceDE w:val="0"/>
      <w:autoSpaceDN w:val="0"/>
      <w:adjustRightInd w:val="0"/>
      <w:spacing w:line="680" w:lineRule="atLeast"/>
      <w:jc w:val="center"/>
    </w:pPr>
    <w:rPr>
      <w:rFonts w:ascii="汉仪中黑简" w:hAnsi="Times New Roman" w:eastAsia="汉仪中黑简" w:cs="汉仪中黑简"/>
      <w:sz w:val="21"/>
      <w:szCs w:val="21"/>
      <w:lang w:val="en-US" w:eastAsia="zh-CN" w:bidi="ar-SA"/>
    </w:rPr>
  </w:style>
  <w:style w:type="paragraph" w:customStyle="1" w:styleId="156">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57">
    <w:name w:val="title12"/>
    <w:basedOn w:val="1"/>
    <w:qFormat/>
    <w:uiPriority w:val="0"/>
    <w:pPr>
      <w:spacing w:before="150"/>
      <w:jc w:val="left"/>
    </w:pPr>
    <w:rPr>
      <w:b/>
      <w:kern w:val="0"/>
      <w:sz w:val="22"/>
      <w:szCs w:val="22"/>
    </w:rPr>
  </w:style>
  <w:style w:type="paragraph" w:customStyle="1" w:styleId="158">
    <w:name w:val="xl39"/>
    <w:basedOn w:val="1"/>
    <w:qFormat/>
    <w:uiPriority w:val="0"/>
    <w:pPr>
      <w:widowControl/>
      <w:pBdr>
        <w:left w:val="single" w:color="auto" w:sz="4" w:space="0"/>
        <w:right w:val="single" w:color="auto" w:sz="4" w:space="0"/>
      </w:pBdr>
      <w:spacing w:before="100" w:beforeAutospacing="1" w:after="100" w:afterAutospacing="1"/>
      <w:jc w:val="center"/>
    </w:pPr>
    <w:rPr>
      <w:rFonts w:hint="eastAsia" w:ascii="仿宋_GB2312" w:hAnsi="宋体" w:eastAsia="仿宋_GB2312"/>
      <w:b/>
      <w:kern w:val="0"/>
      <w:sz w:val="24"/>
    </w:rPr>
  </w:style>
  <w:style w:type="paragraph" w:customStyle="1" w:styleId="159">
    <w:name w:val="样式 首行缩进:  0 字符"/>
    <w:basedOn w:val="1"/>
    <w:qFormat/>
    <w:uiPriority w:val="0"/>
    <w:pPr>
      <w:ind w:firstLine="200" w:firstLineChars="200"/>
    </w:pPr>
    <w:rPr>
      <w:rFonts w:ascii="Arial" w:hAnsi="Arial" w:cs="宋体"/>
    </w:rPr>
  </w:style>
  <w:style w:type="paragraph" w:customStyle="1" w:styleId="160">
    <w:name w:val="font8"/>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62">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163">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64">
    <w:name w:val="列出段落11"/>
    <w:basedOn w:val="1"/>
    <w:qFormat/>
    <w:uiPriority w:val="34"/>
    <w:pPr>
      <w:ind w:firstLine="420" w:firstLineChars="200"/>
    </w:pPr>
    <w:rPr>
      <w:rFonts w:ascii="Calibri" w:hAnsi="Calibri"/>
      <w:szCs w:val="22"/>
    </w:rPr>
  </w:style>
  <w:style w:type="paragraph" w:customStyle="1" w:styleId="165">
    <w:name w:val="xl72"/>
    <w:basedOn w:val="1"/>
    <w:qFormat/>
    <w:uiPriority w:val="0"/>
    <w:pPr>
      <w:widowControl/>
      <w:spacing w:before="100" w:beforeAutospacing="1" w:after="100" w:afterAutospacing="1"/>
      <w:jc w:val="left"/>
      <w:textAlignment w:val="center"/>
    </w:pPr>
    <w:rPr>
      <w:rFonts w:ascii="Arial" w:hAnsi="Arial"/>
      <w:kern w:val="0"/>
      <w:sz w:val="20"/>
    </w:rPr>
  </w:style>
  <w:style w:type="paragraph" w:customStyle="1" w:styleId="166">
    <w:name w:val="font11"/>
    <w:basedOn w:val="1"/>
    <w:qFormat/>
    <w:uiPriority w:val="0"/>
    <w:pPr>
      <w:widowControl/>
      <w:spacing w:before="100" w:beforeAutospacing="1" w:after="100" w:afterAutospacing="1"/>
      <w:jc w:val="left"/>
    </w:pPr>
    <w:rPr>
      <w:kern w:val="0"/>
      <w:sz w:val="22"/>
    </w:rPr>
  </w:style>
  <w:style w:type="paragraph" w:customStyle="1" w:styleId="167">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rPr>
  </w:style>
  <w:style w:type="paragraph" w:customStyle="1" w:styleId="168">
    <w:name w:val="Char1"/>
    <w:basedOn w:val="1"/>
    <w:qFormat/>
    <w:uiPriority w:val="0"/>
    <w:rPr>
      <w:rFonts w:ascii="仿宋_GB2312" w:eastAsia="仿宋_GB2312"/>
      <w:b/>
      <w:sz w:val="32"/>
      <w:szCs w:val="32"/>
    </w:rPr>
  </w:style>
  <w:style w:type="paragraph" w:customStyle="1" w:styleId="169">
    <w:name w:val="xl67"/>
    <w:basedOn w:val="1"/>
    <w:qFormat/>
    <w:uiPriority w:val="0"/>
    <w:pPr>
      <w:widowControl/>
      <w:spacing w:before="100" w:beforeAutospacing="1" w:after="100" w:afterAutospacing="1"/>
      <w:jc w:val="left"/>
      <w:textAlignment w:val="center"/>
    </w:pPr>
    <w:rPr>
      <w:rFonts w:ascii="宋体" w:hAnsi="宋体"/>
      <w:kern w:val="0"/>
      <w:sz w:val="24"/>
    </w:rPr>
  </w:style>
  <w:style w:type="paragraph" w:customStyle="1" w:styleId="170">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71">
    <w:name w:val="xl81"/>
    <w:basedOn w:val="1"/>
    <w:qFormat/>
    <w:uiPriority w:val="0"/>
    <w:pPr>
      <w:widowControl/>
      <w:spacing w:before="100" w:beforeAutospacing="1" w:after="100" w:afterAutospacing="1"/>
      <w:jc w:val="center"/>
      <w:textAlignment w:val="center"/>
    </w:pPr>
    <w:rPr>
      <w:rFonts w:ascii="宋体" w:hAnsi="宋体"/>
      <w:b/>
      <w:kern w:val="0"/>
      <w:sz w:val="44"/>
    </w:rPr>
  </w:style>
  <w:style w:type="paragraph" w:customStyle="1" w:styleId="172">
    <w:name w:val="xl31"/>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73">
    <w:name w:val="Char Char Char Char Char Char Char Char Char Char"/>
    <w:basedOn w:val="1"/>
    <w:qFormat/>
    <w:uiPriority w:val="0"/>
    <w:rPr>
      <w:szCs w:val="24"/>
    </w:rPr>
  </w:style>
  <w:style w:type="paragraph" w:customStyle="1" w:styleId="174">
    <w:name w:val="普通 (Web)"/>
    <w:basedOn w:val="1"/>
    <w:qFormat/>
    <w:uiPriority w:val="0"/>
    <w:pPr>
      <w:widowControl/>
      <w:spacing w:before="100" w:after="100"/>
      <w:jc w:val="left"/>
    </w:pPr>
    <w:rPr>
      <w:rFonts w:ascii="Arial Unicode MS" w:hAnsi="Arial Unicode MS" w:eastAsia="Arial Unicode MS"/>
      <w:kern w:val="0"/>
      <w:sz w:val="24"/>
    </w:rPr>
  </w:style>
  <w:style w:type="paragraph" w:customStyle="1" w:styleId="175">
    <w:name w:val="xl6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rPr>
  </w:style>
  <w:style w:type="paragraph" w:customStyle="1" w:styleId="176">
    <w:name w:val="_Style 10"/>
    <w:basedOn w:val="1"/>
    <w:qFormat/>
    <w:uiPriority w:val="0"/>
    <w:rPr>
      <w:szCs w:val="24"/>
    </w:rPr>
  </w:style>
  <w:style w:type="paragraph" w:customStyle="1" w:styleId="177">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78">
    <w:name w:val="xl83"/>
    <w:basedOn w:val="1"/>
    <w:qFormat/>
    <w:uiPriority w:val="0"/>
    <w:pPr>
      <w:widowControl/>
      <w:pBdr>
        <w:bottom w:val="single" w:color="auto" w:sz="4" w:space="0"/>
      </w:pBdr>
      <w:spacing w:before="100" w:beforeAutospacing="1" w:after="100" w:afterAutospacing="1"/>
      <w:jc w:val="center"/>
      <w:textAlignment w:val="center"/>
    </w:pPr>
    <w:rPr>
      <w:rFonts w:ascii="宋体" w:hAnsi="宋体"/>
      <w:b/>
      <w:kern w:val="0"/>
      <w:sz w:val="32"/>
    </w:rPr>
  </w:style>
  <w:style w:type="paragraph" w:customStyle="1" w:styleId="179">
    <w:name w:val="reader-word-layer reader-word-s10-1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81">
    <w:name w:val="title11"/>
    <w:basedOn w:val="1"/>
    <w:qFormat/>
    <w:uiPriority w:val="0"/>
    <w:pPr>
      <w:spacing w:before="150"/>
      <w:jc w:val="left"/>
    </w:pPr>
    <w:rPr>
      <w:b/>
      <w:kern w:val="0"/>
      <w:sz w:val="22"/>
      <w:szCs w:val="22"/>
    </w:rPr>
  </w:style>
  <w:style w:type="paragraph" w:customStyle="1" w:styleId="182">
    <w:name w:val="我的征文"/>
    <w:basedOn w:val="1"/>
    <w:qFormat/>
    <w:uiPriority w:val="0"/>
    <w:pPr>
      <w:tabs>
        <w:tab w:val="left" w:pos="851"/>
      </w:tabs>
      <w:spacing w:before="360" w:after="360"/>
      <w:ind w:left="851" w:right="113" w:hanging="851"/>
    </w:pPr>
  </w:style>
  <w:style w:type="paragraph" w:customStyle="1" w:styleId="183">
    <w:name w:val="xl27"/>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184">
    <w:name w:val="论文正文"/>
    <w:basedOn w:val="1"/>
    <w:qFormat/>
    <w:uiPriority w:val="0"/>
    <w:pPr>
      <w:spacing w:line="400" w:lineRule="exact"/>
    </w:pPr>
    <w:rPr>
      <w:rFonts w:ascii="宋体" w:hAnsi="宋体"/>
      <w:sz w:val="24"/>
      <w:szCs w:val="24"/>
    </w:rPr>
  </w:style>
  <w:style w:type="paragraph" w:customStyle="1" w:styleId="185">
    <w:name w:val="正文K 标准"/>
    <w:qFormat/>
    <w:uiPriority w:val="0"/>
    <w:pPr>
      <w:widowControl w:val="0"/>
      <w:autoSpaceDE w:val="0"/>
      <w:autoSpaceDN w:val="0"/>
      <w:adjustRightInd w:val="0"/>
      <w:spacing w:line="340" w:lineRule="atLeast"/>
      <w:ind w:firstLine="428"/>
      <w:jc w:val="both"/>
    </w:pPr>
    <w:rPr>
      <w:rFonts w:ascii="汉仪楷体简" w:hAnsi="Times New Roman" w:eastAsia="汉仪楷体简" w:cs="汉仪楷体简"/>
      <w:sz w:val="21"/>
      <w:szCs w:val="21"/>
      <w:lang w:val="en-US" w:eastAsia="zh-CN" w:bidi="ar-SA"/>
    </w:rPr>
  </w:style>
  <w:style w:type="paragraph" w:customStyle="1" w:styleId="18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styleId="187">
    <w:name w:val="List Paragraph"/>
    <w:basedOn w:val="1"/>
    <w:qFormat/>
    <w:uiPriority w:val="34"/>
    <w:pPr>
      <w:ind w:firstLine="420" w:firstLineChars="200"/>
    </w:pPr>
    <w:rPr>
      <w:szCs w:val="21"/>
    </w:rPr>
  </w:style>
  <w:style w:type="paragraph" w:customStyle="1" w:styleId="188">
    <w:name w:val="xl6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Arial" w:hAnsi="Arial"/>
      <w:kern w:val="0"/>
      <w:sz w:val="22"/>
    </w:rPr>
  </w:style>
  <w:style w:type="paragraph" w:customStyle="1" w:styleId="189">
    <w:name w:val="xl82"/>
    <w:basedOn w:val="1"/>
    <w:qFormat/>
    <w:uiPriority w:val="0"/>
    <w:pPr>
      <w:widowControl/>
      <w:spacing w:before="100" w:beforeAutospacing="1" w:after="100" w:afterAutospacing="1"/>
      <w:jc w:val="center"/>
      <w:textAlignment w:val="center"/>
    </w:pPr>
    <w:rPr>
      <w:rFonts w:ascii="宋体" w:hAnsi="宋体"/>
      <w:b/>
      <w:kern w:val="0"/>
      <w:sz w:val="40"/>
    </w:rPr>
  </w:style>
  <w:style w:type="paragraph" w:customStyle="1" w:styleId="190">
    <w:name w:val="xl71"/>
    <w:basedOn w:val="1"/>
    <w:qFormat/>
    <w:uiPriority w:val="0"/>
    <w:pPr>
      <w:widowControl/>
      <w:spacing w:before="100" w:beforeAutospacing="1" w:after="100" w:afterAutospacing="1"/>
      <w:jc w:val="left"/>
      <w:textAlignment w:val="center"/>
    </w:pPr>
    <w:rPr>
      <w:rFonts w:ascii="Arial" w:hAnsi="Arial"/>
      <w:kern w:val="0"/>
      <w:sz w:val="24"/>
    </w:rPr>
  </w:style>
  <w:style w:type="paragraph" w:customStyle="1" w:styleId="191">
    <w:name w:val="reader-word-layer reader-word-s10-7"/>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2">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93">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194">
    <w:name w:val="xl6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Arial" w:hAnsi="Arial"/>
      <w:kern w:val="0"/>
      <w:sz w:val="22"/>
    </w:rPr>
  </w:style>
  <w:style w:type="paragraph" w:customStyle="1" w:styleId="195">
    <w:name w:val="标题4"/>
    <w:basedOn w:val="1"/>
    <w:qFormat/>
    <w:uiPriority w:val="0"/>
    <w:pPr>
      <w:widowControl/>
      <w:snapToGrid w:val="0"/>
      <w:spacing w:line="500" w:lineRule="exact"/>
      <w:ind w:firstLine="641"/>
      <w:jc w:val="left"/>
    </w:pPr>
    <w:rPr>
      <w:rFonts w:ascii="Verdana" w:hAnsi="Verdana" w:eastAsia="黑体"/>
      <w:b/>
      <w:kern w:val="0"/>
      <w:sz w:val="32"/>
      <w:szCs w:val="32"/>
      <w:lang w:eastAsia="en-US"/>
    </w:rPr>
  </w:style>
  <w:style w:type="paragraph" w:customStyle="1" w:styleId="196">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97">
    <w:name w:val="p0"/>
    <w:basedOn w:val="1"/>
    <w:qFormat/>
    <w:uiPriority w:val="0"/>
    <w:pPr>
      <w:widowControl/>
    </w:pPr>
    <w:rPr>
      <w:rFonts w:ascii="Calibri" w:hAnsi="Calibri" w:cs="宋体"/>
      <w:kern w:val="0"/>
      <w:szCs w:val="21"/>
    </w:rPr>
  </w:style>
  <w:style w:type="paragraph" w:customStyle="1" w:styleId="198">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199">
    <w:name w:val="xl70"/>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kern w:val="0"/>
      <w:sz w:val="22"/>
    </w:rPr>
  </w:style>
  <w:style w:type="paragraph" w:customStyle="1" w:styleId="200">
    <w:name w:val="Char Char Char Char Char Char Char"/>
    <w:basedOn w:val="1"/>
    <w:qFormat/>
    <w:uiPriority w:val="0"/>
    <w:pPr>
      <w:widowControl/>
      <w:snapToGrid w:val="0"/>
      <w:spacing w:after="160" w:line="360" w:lineRule="auto"/>
      <w:jc w:val="left"/>
    </w:pPr>
  </w:style>
  <w:style w:type="paragraph" w:customStyle="1" w:styleId="201">
    <w:name w:val="Char Char Char Char"/>
    <w:basedOn w:val="1"/>
    <w:qFormat/>
    <w:uiPriority w:val="0"/>
    <w:rPr>
      <w:rFonts w:ascii="Tahoma" w:hAnsi="Tahoma"/>
      <w:sz w:val="24"/>
    </w:rPr>
  </w:style>
  <w:style w:type="paragraph" w:customStyle="1" w:styleId="202">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0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04">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kern w:val="0"/>
      <w:sz w:val="22"/>
    </w:rPr>
  </w:style>
  <w:style w:type="paragraph" w:customStyle="1" w:styleId="205">
    <w:name w:val="TOC 标题1"/>
    <w:basedOn w:val="3"/>
    <w:next w:val="1"/>
    <w:qFormat/>
    <w:uiPriority w:val="0"/>
    <w:pPr>
      <w:widowControl/>
      <w:spacing w:before="480" w:after="0" w:line="276" w:lineRule="auto"/>
      <w:jc w:val="left"/>
      <w:outlineLvl w:val="9"/>
    </w:pPr>
    <w:rPr>
      <w:rFonts w:ascii="Cambria" w:hAnsi="Cambria"/>
      <w:bCs/>
      <w:color w:val="365F91"/>
      <w:kern w:val="0"/>
      <w:sz w:val="28"/>
      <w:szCs w:val="28"/>
    </w:rPr>
  </w:style>
  <w:style w:type="paragraph" w:customStyle="1" w:styleId="206">
    <w:name w:val="列出段落2"/>
    <w:basedOn w:val="1"/>
    <w:qFormat/>
    <w:uiPriority w:val="34"/>
    <w:pPr>
      <w:ind w:firstLine="420" w:firstLineChars="200"/>
    </w:pPr>
    <w:rPr>
      <w:szCs w:val="24"/>
    </w:rPr>
  </w:style>
  <w:style w:type="paragraph" w:customStyle="1" w:styleId="207">
    <w:name w:val="方案正文"/>
    <w:basedOn w:val="1"/>
    <w:qFormat/>
    <w:uiPriority w:val="0"/>
    <w:pPr>
      <w:spacing w:line="360" w:lineRule="auto"/>
      <w:ind w:firstLine="560" w:firstLineChars="200"/>
    </w:pPr>
    <w:rPr>
      <w:rFonts w:ascii="宋体" w:hAnsi="宋体"/>
      <w:sz w:val="24"/>
      <w:szCs w:val="28"/>
    </w:rPr>
  </w:style>
  <w:style w:type="paragraph" w:customStyle="1" w:styleId="208">
    <w:name w:val="WPSOffice手动目录 1"/>
    <w:qFormat/>
    <w:uiPriority w:val="0"/>
    <w:rPr>
      <w:rFonts w:ascii="Times New Roman" w:hAnsi="Times New Roman" w:eastAsia="宋体" w:cs="Times New Roman"/>
      <w:lang w:val="en-US" w:eastAsia="zh-CN" w:bidi="ar-SA"/>
    </w:rPr>
  </w:style>
  <w:style w:type="paragraph" w:customStyle="1" w:styleId="209">
    <w:name w:val="Char Char10"/>
    <w:basedOn w:val="14"/>
    <w:qFormat/>
    <w:uiPriority w:val="0"/>
    <w:rPr>
      <w:rFonts w:ascii="Tahoma" w:hAnsi="Tahoma"/>
      <w:sz w:val="24"/>
      <w:szCs w:val="24"/>
    </w:rPr>
  </w:style>
  <w:style w:type="paragraph" w:customStyle="1" w:styleId="210">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kern w:val="0"/>
      <w:sz w:val="22"/>
    </w:rPr>
  </w:style>
  <w:style w:type="paragraph" w:customStyle="1" w:styleId="211">
    <w:name w:val="Char"/>
    <w:basedOn w:val="1"/>
    <w:qFormat/>
    <w:uiPriority w:val="0"/>
  </w:style>
  <w:style w:type="paragraph" w:customStyle="1" w:styleId="212">
    <w:name w:val="reader-word-layer reader-word-s10-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3">
    <w:name w:val="font9"/>
    <w:basedOn w:val="1"/>
    <w:qFormat/>
    <w:uiPriority w:val="0"/>
    <w:pPr>
      <w:widowControl/>
      <w:spacing w:before="100" w:beforeAutospacing="1" w:after="100" w:afterAutospacing="1"/>
      <w:jc w:val="left"/>
    </w:pPr>
    <w:rPr>
      <w:rFonts w:hint="eastAsia" w:ascii="宋体" w:hAnsi="宋体"/>
      <w:b/>
      <w:kern w:val="0"/>
      <w:sz w:val="40"/>
    </w:rPr>
  </w:style>
  <w:style w:type="paragraph" w:customStyle="1" w:styleId="214">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215">
    <w:name w:val="_Style 43"/>
    <w:basedOn w:val="14"/>
    <w:qFormat/>
    <w:uiPriority w:val="0"/>
    <w:rPr>
      <w:rFonts w:ascii="Tahoma" w:hAnsi="Tahoma"/>
      <w:sz w:val="24"/>
      <w:szCs w:val="24"/>
    </w:rPr>
  </w:style>
  <w:style w:type="paragraph" w:customStyle="1" w:styleId="2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1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218">
    <w:name w:val="_Style 131"/>
    <w:basedOn w:val="14"/>
    <w:qFormat/>
    <w:uiPriority w:val="0"/>
    <w:rPr>
      <w:rFonts w:ascii="Tahoma" w:hAnsi="Tahoma"/>
      <w:sz w:val="24"/>
      <w:szCs w:val="24"/>
    </w:rPr>
  </w:style>
  <w:style w:type="paragraph" w:customStyle="1" w:styleId="219">
    <w:name w:val="xl63"/>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220">
    <w:name w:val="╒222222²¡¡"/>
    <w:qFormat/>
    <w:uiPriority w:val="0"/>
    <w:pPr>
      <w:widowControl w:val="0"/>
      <w:autoSpaceDE w:val="0"/>
      <w:autoSpaceDN w:val="0"/>
      <w:adjustRightInd w:val="0"/>
      <w:spacing w:line="345" w:lineRule="atLeast"/>
      <w:jc w:val="both"/>
    </w:pPr>
    <w:rPr>
      <w:rFonts w:ascii="Times New Roman" w:hAnsi="Times New Roman" w:eastAsia="宋体" w:cs="Times New Roman"/>
      <w:sz w:val="24"/>
      <w:szCs w:val="24"/>
      <w:lang w:val="en-US" w:eastAsia="zh-CN" w:bidi="ar-SA"/>
    </w:rPr>
  </w:style>
  <w:style w:type="paragraph" w:customStyle="1" w:styleId="221">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kern w:val="0"/>
      <w:sz w:val="22"/>
    </w:rPr>
  </w:style>
  <w:style w:type="paragraph" w:customStyle="1" w:styleId="222">
    <w:name w:val="xl3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23">
    <w:name w:val="xl73"/>
    <w:basedOn w:val="1"/>
    <w:qFormat/>
    <w:uiPriority w:val="0"/>
    <w:pPr>
      <w:widowControl/>
      <w:pBdr>
        <w:top w:val="single" w:color="auto" w:sz="4" w:space="0"/>
        <w:left w:val="double" w:color="auto" w:sz="6" w:space="0"/>
        <w:bottom w:val="single" w:color="auto" w:sz="4" w:space="0"/>
        <w:right w:val="single" w:color="auto" w:sz="4" w:space="0"/>
      </w:pBdr>
      <w:spacing w:before="100" w:beforeAutospacing="1" w:after="100" w:afterAutospacing="1"/>
      <w:jc w:val="center"/>
      <w:textAlignment w:val="center"/>
    </w:pPr>
    <w:rPr>
      <w:rFonts w:ascii="Arial" w:hAnsi="Arial"/>
      <w:kern w:val="0"/>
      <w:sz w:val="22"/>
    </w:rPr>
  </w:style>
  <w:style w:type="paragraph" w:customStyle="1" w:styleId="224">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225">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rPr>
  </w:style>
  <w:style w:type="paragraph" w:customStyle="1" w:styleId="226">
    <w:name w:val="TableTextLeft"/>
    <w:qFormat/>
    <w:uiPriority w:val="0"/>
    <w:rPr>
      <w:rFonts w:ascii="Century Gothic" w:hAnsi="Century Gothic" w:eastAsia="宋体" w:cs="Times New Roman"/>
      <w:sz w:val="18"/>
      <w:szCs w:val="18"/>
      <w:lang w:val="en-US" w:eastAsia="zh-CN" w:bidi="ar-SA"/>
    </w:rPr>
  </w:style>
  <w:style w:type="table" w:customStyle="1" w:styleId="227">
    <w:name w:val="整理1"/>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8">
    <w:name w:val="NormalCharacter"/>
    <w:qFormat/>
    <w:uiPriority w:val="0"/>
  </w:style>
  <w:style w:type="paragraph" w:customStyle="1" w:styleId="229">
    <w:name w:val="_Style 226"/>
    <w:unhideWhenUsed/>
    <w:qFormat/>
    <w:uiPriority w:val="99"/>
    <w:rPr>
      <w:rFonts w:ascii="Times New Roman" w:hAnsi="Times New Roman" w:eastAsia="宋体" w:cs="Times New Roman"/>
      <w:kern w:val="2"/>
      <w:sz w:val="21"/>
      <w:lang w:val="en-US" w:eastAsia="zh-CN" w:bidi="ar-SA"/>
    </w:rPr>
  </w:style>
  <w:style w:type="paragraph" w:customStyle="1" w:styleId="230">
    <w:name w:val="vsbcontent_end"/>
    <w:basedOn w:val="1"/>
    <w:qFormat/>
    <w:uiPriority w:val="0"/>
    <w:pPr>
      <w:widowControl/>
      <w:spacing w:before="100" w:beforeAutospacing="1" w:after="100" w:afterAutospacing="1"/>
      <w:jc w:val="left"/>
    </w:pPr>
    <w:rPr>
      <w:rFonts w:ascii="宋体" w:hAnsi="宋体" w:cs="宋体"/>
      <w:kern w:val="0"/>
      <w:sz w:val="24"/>
    </w:rPr>
  </w:style>
  <w:style w:type="table" w:customStyle="1" w:styleId="231">
    <w:name w:val="Table Normal"/>
    <w:semiHidden/>
    <w:unhideWhenUsed/>
    <w:qFormat/>
    <w:uiPriority w:val="0"/>
    <w:tblPr>
      <w:tblCellMar>
        <w:top w:w="0" w:type="dxa"/>
        <w:left w:w="0" w:type="dxa"/>
        <w:bottom w:w="0" w:type="dxa"/>
        <w:right w:w="0" w:type="dxa"/>
      </w:tblCellMar>
    </w:tblPr>
  </w:style>
  <w:style w:type="paragraph" w:customStyle="1" w:styleId="232">
    <w:name w:val="列出段落4"/>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2FC0D-815D-4F4D-AC58-48DCDD400E6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43</Pages>
  <Words>16164</Words>
  <Characters>17055</Characters>
  <Lines>177</Lines>
  <Paragraphs>49</Paragraphs>
  <TotalTime>99</TotalTime>
  <ScaleCrop>false</ScaleCrop>
  <LinksUpToDate>false</LinksUpToDate>
  <CharactersWithSpaces>18360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2022-07-06T03:43:00Z</dcterms:created>
  <dc:creator>郭大军</dc:creator>
  <cp:lastModifiedBy>颖</cp:lastModifiedBy>
  <cp:lastPrinted>2021-09-14T08:05:00Z</cp:lastPrinted>
  <dcterms:modified xsi:type="dcterms:W3CDTF">2023-09-06T07:49:34Z</dcterms:modified>
  <dc:title>                                     </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9452363B15D7476FB9014FCC79ABACBF_13</vt:lpwstr>
  </property>
</Properties>
</file>